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B81" w:rsidRPr="003B5B81" w:rsidRDefault="003B5B81" w:rsidP="003B5B81">
      <w:pPr>
        <w:shd w:val="clear" w:color="auto" w:fill="FFFFFF"/>
        <w:spacing w:before="232" w:after="232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4D4D4D"/>
          <w:kern w:val="36"/>
          <w:lang w:eastAsia="ru-RU"/>
        </w:rPr>
      </w:pPr>
      <w:r w:rsidRPr="003B5B81">
        <w:rPr>
          <w:rFonts w:ascii="Arial" w:eastAsia="Times New Roman" w:hAnsi="Arial" w:cs="Arial"/>
          <w:b/>
          <w:bCs/>
          <w:caps/>
          <w:color w:val="4D4D4D"/>
          <w:kern w:val="36"/>
          <w:lang w:eastAsia="ru-RU"/>
        </w:rPr>
        <w:t>ЕДИНЫЕ РЕКОМЕНДАЦИИ ПО УСТАНОВЛЕНИЮ НА ФЕДЕРАЛЬНОМ, РЕГИОНАЛЬНОМ И МЕСТНОМ УРОВНЯХ СИСТЕМ ОПЛАТЫ ТРУДА РАБОТНИКОВ ГОСУДАРСТВЕННЫХ И МУНИЦИПАЛЬНЫХ УЧРЕЖДЕНИЙ НА 2020 ГОД (УТВ. РЕШЕНИЕМ РОССИЙСКОЙ ТРЕХСТОРОННЕЙ КОМИССИИ ПО РЕГУЛИРОВАНИЮ СОЦИАЛЬНО-ТРУДОВЫХ ОТНОШЕНИЙ ОТ 24 ДЕКАБРЯ 2019 Г., ПРОТОКОЛ N 11)</w:t>
      </w:r>
    </w:p>
    <w:p w:rsidR="003B5B81" w:rsidRPr="003B5B81" w:rsidRDefault="003B5B81" w:rsidP="003B5B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lang w:eastAsia="ru-RU"/>
        </w:rPr>
      </w:pPr>
      <w:r w:rsidRPr="003B5B81">
        <w:rPr>
          <w:rFonts w:ascii="Courier New" w:eastAsia="Times New Roman" w:hAnsi="Courier New" w:cs="Courier New"/>
          <w:color w:val="333333"/>
          <w:lang w:eastAsia="ru-RU"/>
        </w:rPr>
        <w:t>32. При разработке нормативных правовых актов по вопросам оплаты</w:t>
      </w:r>
    </w:p>
    <w:p w:rsidR="003B5B81" w:rsidRPr="003B5B81" w:rsidRDefault="003B5B81" w:rsidP="003B5B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lang w:eastAsia="ru-RU"/>
        </w:rPr>
      </w:pPr>
      <w:r w:rsidRPr="003B5B81">
        <w:rPr>
          <w:rFonts w:ascii="Courier New" w:eastAsia="Times New Roman" w:hAnsi="Courier New" w:cs="Courier New"/>
          <w:color w:val="333333"/>
          <w:lang w:eastAsia="ru-RU"/>
        </w:rPr>
        <w:t>труда работников учреждений органам государственной власти субъектов</w:t>
      </w:r>
    </w:p>
    <w:p w:rsidR="003B5B81" w:rsidRPr="003B5B81" w:rsidRDefault="003B5B81" w:rsidP="003B5B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lang w:eastAsia="ru-RU"/>
        </w:rPr>
      </w:pPr>
      <w:r w:rsidRPr="003B5B81">
        <w:rPr>
          <w:rFonts w:ascii="Courier New" w:eastAsia="Times New Roman" w:hAnsi="Courier New" w:cs="Courier New"/>
          <w:color w:val="333333"/>
          <w:lang w:eastAsia="ru-RU"/>
        </w:rPr>
        <w:t xml:space="preserve">Российской Федерации и органам местного самоуправления наряду </w:t>
      </w:r>
      <w:proofErr w:type="gramStart"/>
      <w:r w:rsidRPr="003B5B81">
        <w:rPr>
          <w:rFonts w:ascii="Courier New" w:eastAsia="Times New Roman" w:hAnsi="Courier New" w:cs="Courier New"/>
          <w:color w:val="333333"/>
          <w:lang w:eastAsia="ru-RU"/>
        </w:rPr>
        <w:t>с</w:t>
      </w:r>
      <w:proofErr w:type="gramEnd"/>
    </w:p>
    <w:p w:rsidR="003B5B81" w:rsidRPr="003B5B81" w:rsidRDefault="003B5B81" w:rsidP="003B5B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lang w:eastAsia="ru-RU"/>
        </w:rPr>
      </w:pPr>
      <w:r w:rsidRPr="003B5B81">
        <w:rPr>
          <w:rFonts w:ascii="Courier New" w:eastAsia="Times New Roman" w:hAnsi="Courier New" w:cs="Courier New"/>
          <w:color w:val="333333"/>
          <w:lang w:eastAsia="ru-RU"/>
        </w:rPr>
        <w:t>необходимостью руководствоваться положениями, регламентируемыми</w:t>
      </w:r>
    </w:p>
    <w:p w:rsidR="003B5B81" w:rsidRPr="003B5B81" w:rsidRDefault="003B5B81" w:rsidP="003B5B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lang w:eastAsia="ru-RU"/>
        </w:rPr>
      </w:pPr>
      <w:r w:rsidRPr="003B5B81">
        <w:rPr>
          <w:rFonts w:ascii="Courier New" w:eastAsia="Times New Roman" w:hAnsi="Courier New" w:cs="Courier New"/>
          <w:color w:val="333333"/>
          <w:lang w:eastAsia="ru-RU"/>
        </w:rPr>
        <w:t xml:space="preserve">федеральными законами и иными нормативными правовыми актами </w:t>
      </w:r>
      <w:proofErr w:type="gramStart"/>
      <w:r w:rsidRPr="003B5B81">
        <w:rPr>
          <w:rFonts w:ascii="Courier New" w:eastAsia="Times New Roman" w:hAnsi="Courier New" w:cs="Courier New"/>
          <w:color w:val="333333"/>
          <w:lang w:eastAsia="ru-RU"/>
        </w:rPr>
        <w:t>Российской</w:t>
      </w:r>
      <w:proofErr w:type="gramEnd"/>
    </w:p>
    <w:p w:rsidR="003B5B81" w:rsidRPr="003B5B81" w:rsidRDefault="003B5B81" w:rsidP="003B5B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lang w:eastAsia="ru-RU"/>
        </w:rPr>
      </w:pPr>
      <w:r w:rsidRPr="003B5B81">
        <w:rPr>
          <w:rFonts w:ascii="Courier New" w:eastAsia="Times New Roman" w:hAnsi="Courier New" w:cs="Courier New"/>
          <w:color w:val="333333"/>
          <w:lang w:eastAsia="ru-RU"/>
        </w:rPr>
        <w:t>Федерации, содержащими нормы трудового права, предусмотренными разделами</w:t>
      </w:r>
    </w:p>
    <w:p w:rsidR="003B5B81" w:rsidRPr="003B5B81" w:rsidRDefault="003B5B81" w:rsidP="003B5B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lang w:eastAsia="ru-RU"/>
        </w:rPr>
      </w:pPr>
      <w:r w:rsidRPr="003B5B81">
        <w:rPr>
          <w:rFonts w:ascii="Courier New" w:eastAsia="Times New Roman" w:hAnsi="Courier New" w:cs="Courier New"/>
          <w:color w:val="333333"/>
          <w:lang w:eastAsia="ru-RU"/>
        </w:rPr>
        <w:t xml:space="preserve">I - IV настоящих рекомендаций, рекомендуется использовать положения </w:t>
      </w:r>
      <w:proofErr w:type="gramStart"/>
      <w:r w:rsidRPr="003B5B81">
        <w:rPr>
          <w:rFonts w:ascii="Courier New" w:eastAsia="Times New Roman" w:hAnsi="Courier New" w:cs="Courier New"/>
          <w:color w:val="333333"/>
          <w:lang w:eastAsia="ru-RU"/>
        </w:rPr>
        <w:t>по</w:t>
      </w:r>
      <w:proofErr w:type="gramEnd"/>
    </w:p>
    <w:p w:rsidR="003B5B81" w:rsidRPr="003B5B81" w:rsidRDefault="003B5B81" w:rsidP="003B5B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lang w:eastAsia="ru-RU"/>
        </w:rPr>
      </w:pPr>
      <w:r w:rsidRPr="003B5B81">
        <w:rPr>
          <w:rFonts w:ascii="Courier New" w:eastAsia="Times New Roman" w:hAnsi="Courier New" w:cs="Courier New"/>
          <w:color w:val="333333"/>
          <w:lang w:eastAsia="ru-RU"/>
        </w:rPr>
        <w:t xml:space="preserve">формированию систем оплаты труда </w:t>
      </w:r>
      <w:proofErr w:type="gramStart"/>
      <w:r w:rsidRPr="003B5B81">
        <w:rPr>
          <w:rFonts w:ascii="Courier New" w:eastAsia="Times New Roman" w:hAnsi="Courier New" w:cs="Courier New"/>
          <w:color w:val="333333"/>
          <w:lang w:eastAsia="ru-RU"/>
        </w:rPr>
        <w:t>для</w:t>
      </w:r>
      <w:proofErr w:type="gramEnd"/>
      <w:r w:rsidRPr="003B5B81">
        <w:rPr>
          <w:rFonts w:ascii="Courier New" w:eastAsia="Times New Roman" w:hAnsi="Courier New" w:cs="Courier New"/>
          <w:color w:val="333333"/>
          <w:lang w:eastAsia="ru-RU"/>
        </w:rPr>
        <w:t xml:space="preserve"> федеральных государственных</w:t>
      </w:r>
    </w:p>
    <w:p w:rsidR="003B5B81" w:rsidRPr="003B5B81" w:rsidRDefault="003B5B81" w:rsidP="003B5B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lang w:eastAsia="ru-RU"/>
        </w:rPr>
      </w:pPr>
      <w:r w:rsidRPr="003B5B81">
        <w:rPr>
          <w:rFonts w:ascii="Courier New" w:eastAsia="Times New Roman" w:hAnsi="Courier New" w:cs="Courier New"/>
          <w:color w:val="333333"/>
          <w:lang w:eastAsia="ru-RU"/>
        </w:rPr>
        <w:t xml:space="preserve">учреждений, </w:t>
      </w:r>
      <w:proofErr w:type="gramStart"/>
      <w:r w:rsidRPr="003B5B81">
        <w:rPr>
          <w:rFonts w:ascii="Courier New" w:eastAsia="Times New Roman" w:hAnsi="Courier New" w:cs="Courier New"/>
          <w:color w:val="333333"/>
          <w:lang w:eastAsia="ru-RU"/>
        </w:rPr>
        <w:t>изложенные</w:t>
      </w:r>
      <w:proofErr w:type="gramEnd"/>
      <w:r w:rsidRPr="003B5B81">
        <w:rPr>
          <w:rFonts w:ascii="Courier New" w:eastAsia="Times New Roman" w:hAnsi="Courier New" w:cs="Courier New"/>
          <w:color w:val="333333"/>
          <w:lang w:eastAsia="ru-RU"/>
        </w:rPr>
        <w:t xml:space="preserve"> в разделах IV и V настоящих рекомендаций, обратив</w:t>
      </w:r>
      <w:r>
        <w:rPr>
          <w:rFonts w:ascii="Courier New" w:eastAsia="Times New Roman" w:hAnsi="Courier New" w:cs="Courier New"/>
          <w:color w:val="333333"/>
          <w:lang w:eastAsia="ru-RU"/>
        </w:rPr>
        <w:t xml:space="preserve"> </w:t>
      </w:r>
      <w:r w:rsidRPr="003B5B81">
        <w:rPr>
          <w:rFonts w:ascii="Courier New" w:eastAsia="Times New Roman" w:hAnsi="Courier New" w:cs="Courier New"/>
          <w:color w:val="333333"/>
          <w:lang w:eastAsia="ru-RU"/>
        </w:rPr>
        <w:t>особое внимание при применении этих положений учреждениями на:</w:t>
      </w:r>
    </w:p>
    <w:p w:rsidR="003B5B81" w:rsidRPr="003B5B81" w:rsidRDefault="003B5B81" w:rsidP="003B5B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lang w:eastAsia="ru-RU"/>
        </w:rPr>
      </w:pPr>
      <w:r w:rsidRPr="003B5B81">
        <w:rPr>
          <w:rFonts w:ascii="Courier New" w:eastAsia="Times New Roman" w:hAnsi="Courier New" w:cs="Courier New"/>
          <w:color w:val="333333"/>
          <w:lang w:eastAsia="ru-RU"/>
        </w:rPr>
        <w:t xml:space="preserve">     а) установление фиксированных размеров окладов (должностных</w:t>
      </w:r>
    </w:p>
    <w:p w:rsidR="003B5B81" w:rsidRPr="003B5B81" w:rsidRDefault="003B5B81" w:rsidP="003B5B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lang w:eastAsia="ru-RU"/>
        </w:rPr>
      </w:pPr>
      <w:r w:rsidRPr="003B5B81">
        <w:rPr>
          <w:rFonts w:ascii="Courier New" w:eastAsia="Times New Roman" w:hAnsi="Courier New" w:cs="Courier New"/>
          <w:color w:val="333333"/>
          <w:lang w:eastAsia="ru-RU"/>
        </w:rPr>
        <w:t>окладов), ставок заработной платы работников на основе профессиональных</w:t>
      </w:r>
      <w:r>
        <w:rPr>
          <w:rFonts w:ascii="Courier New" w:eastAsia="Times New Roman" w:hAnsi="Courier New" w:cs="Courier New"/>
          <w:color w:val="333333"/>
          <w:lang w:eastAsia="ru-RU"/>
        </w:rPr>
        <w:t xml:space="preserve"> </w:t>
      </w:r>
      <w:r w:rsidRPr="003B5B81">
        <w:rPr>
          <w:rFonts w:ascii="Courier New" w:eastAsia="Times New Roman" w:hAnsi="Courier New" w:cs="Courier New"/>
          <w:color w:val="333333"/>
          <w:lang w:eastAsia="ru-RU"/>
        </w:rPr>
        <w:t>квалификационных групп (квалификационных уровней профессиональных</w:t>
      </w:r>
      <w:r>
        <w:rPr>
          <w:rFonts w:ascii="Courier New" w:eastAsia="Times New Roman" w:hAnsi="Courier New" w:cs="Courier New"/>
          <w:color w:val="333333"/>
          <w:lang w:eastAsia="ru-RU"/>
        </w:rPr>
        <w:t xml:space="preserve"> </w:t>
      </w:r>
      <w:r w:rsidRPr="003B5B81">
        <w:rPr>
          <w:rFonts w:ascii="Courier New" w:eastAsia="Times New Roman" w:hAnsi="Courier New" w:cs="Courier New"/>
          <w:color w:val="333333"/>
          <w:lang w:eastAsia="ru-RU"/>
        </w:rPr>
        <w:t>квалификационных групп);</w:t>
      </w:r>
    </w:p>
    <w:p w:rsidR="003B5B81" w:rsidRPr="003B5B81" w:rsidRDefault="003B5B81" w:rsidP="003B5B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lang w:eastAsia="ru-RU"/>
        </w:rPr>
      </w:pPr>
      <w:r w:rsidRPr="003B5B81">
        <w:rPr>
          <w:rFonts w:ascii="Courier New" w:eastAsia="Times New Roman" w:hAnsi="Courier New" w:cs="Courier New"/>
          <w:color w:val="333333"/>
          <w:lang w:eastAsia="ru-RU"/>
        </w:rPr>
        <w:t xml:space="preserve">     б) установление размеров окладов (должностных окладов), ставок</w:t>
      </w:r>
    </w:p>
    <w:p w:rsidR="003B5B81" w:rsidRPr="003B5B81" w:rsidRDefault="003B5B81" w:rsidP="003B5B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lang w:eastAsia="ru-RU"/>
        </w:rPr>
      </w:pPr>
      <w:r w:rsidRPr="003B5B81">
        <w:rPr>
          <w:rFonts w:ascii="Courier New" w:eastAsia="Times New Roman" w:hAnsi="Courier New" w:cs="Courier New"/>
          <w:color w:val="333333"/>
          <w:lang w:eastAsia="ru-RU"/>
        </w:rPr>
        <w:t>заработной платы по должностям служащих, не включенным в профессиональные</w:t>
      </w:r>
      <w:r>
        <w:rPr>
          <w:rFonts w:ascii="Courier New" w:eastAsia="Times New Roman" w:hAnsi="Courier New" w:cs="Courier New"/>
          <w:color w:val="333333"/>
          <w:lang w:eastAsia="ru-RU"/>
        </w:rPr>
        <w:t xml:space="preserve"> </w:t>
      </w:r>
      <w:r w:rsidRPr="003B5B81">
        <w:rPr>
          <w:rFonts w:ascii="Courier New" w:eastAsia="Times New Roman" w:hAnsi="Courier New" w:cs="Courier New"/>
          <w:color w:val="333333"/>
          <w:lang w:eastAsia="ru-RU"/>
        </w:rPr>
        <w:t>квалификационные группы, в зависимости от сложности труда;</w:t>
      </w:r>
    </w:p>
    <w:p w:rsidR="003B5B81" w:rsidRPr="003B5B81" w:rsidRDefault="003B5B81" w:rsidP="003B5B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lang w:eastAsia="ru-RU"/>
        </w:rPr>
      </w:pPr>
      <w:r w:rsidRPr="003B5B81">
        <w:rPr>
          <w:rFonts w:ascii="Courier New" w:eastAsia="Times New Roman" w:hAnsi="Courier New" w:cs="Courier New"/>
          <w:color w:val="333333"/>
          <w:lang w:eastAsia="ru-RU"/>
        </w:rPr>
        <w:t xml:space="preserve">     в) определение фиксированных размеров окладов (должностных окладов)</w:t>
      </w:r>
      <w:proofErr w:type="gramStart"/>
      <w:r w:rsidRPr="003B5B81">
        <w:rPr>
          <w:rFonts w:ascii="Courier New" w:eastAsia="Times New Roman" w:hAnsi="Courier New" w:cs="Courier New"/>
          <w:color w:val="333333"/>
          <w:lang w:eastAsia="ru-RU"/>
        </w:rPr>
        <w:t>,с</w:t>
      </w:r>
      <w:proofErr w:type="gramEnd"/>
      <w:r w:rsidRPr="003B5B81">
        <w:rPr>
          <w:rFonts w:ascii="Courier New" w:eastAsia="Times New Roman" w:hAnsi="Courier New" w:cs="Courier New"/>
          <w:color w:val="333333"/>
          <w:lang w:eastAsia="ru-RU"/>
        </w:rPr>
        <w:t>тавок заработной платы за исполнение трудовых (должностных) обязанностей</w:t>
      </w:r>
      <w:r>
        <w:rPr>
          <w:rFonts w:ascii="Courier New" w:eastAsia="Times New Roman" w:hAnsi="Courier New" w:cs="Courier New"/>
          <w:color w:val="333333"/>
          <w:lang w:eastAsia="ru-RU"/>
        </w:rPr>
        <w:t xml:space="preserve"> </w:t>
      </w:r>
      <w:r w:rsidRPr="003B5B81">
        <w:rPr>
          <w:rFonts w:ascii="Courier New" w:eastAsia="Times New Roman" w:hAnsi="Courier New" w:cs="Courier New"/>
          <w:color w:val="333333"/>
          <w:lang w:eastAsia="ru-RU"/>
        </w:rPr>
        <w:t>за календарный месяц либо за установленные нормы труда (нормы часов</w:t>
      </w:r>
      <w:r>
        <w:rPr>
          <w:rFonts w:ascii="Courier New" w:eastAsia="Times New Roman" w:hAnsi="Courier New" w:cs="Courier New"/>
          <w:color w:val="333333"/>
          <w:lang w:eastAsia="ru-RU"/>
        </w:rPr>
        <w:t xml:space="preserve"> </w:t>
      </w:r>
      <w:r w:rsidRPr="003B5B81">
        <w:rPr>
          <w:rFonts w:ascii="Courier New" w:eastAsia="Times New Roman" w:hAnsi="Courier New" w:cs="Courier New"/>
          <w:color w:val="333333"/>
          <w:lang w:eastAsia="ru-RU"/>
        </w:rPr>
        <w:t>педагогической работы в неделю (в год) за ставку заработной платы за</w:t>
      </w:r>
      <w:r>
        <w:rPr>
          <w:rFonts w:ascii="Courier New" w:eastAsia="Times New Roman" w:hAnsi="Courier New" w:cs="Courier New"/>
          <w:color w:val="333333"/>
          <w:lang w:eastAsia="ru-RU"/>
        </w:rPr>
        <w:t xml:space="preserve"> </w:t>
      </w:r>
      <w:r w:rsidRPr="003B5B81">
        <w:rPr>
          <w:rFonts w:ascii="Courier New" w:eastAsia="Times New Roman" w:hAnsi="Courier New" w:cs="Courier New"/>
          <w:color w:val="333333"/>
          <w:lang w:eastAsia="ru-RU"/>
        </w:rPr>
        <w:t>календарный месяц) по занимаемой работником должности;</w:t>
      </w:r>
    </w:p>
    <w:p w:rsidR="003B5B81" w:rsidRPr="003B5B81" w:rsidRDefault="003B5B81" w:rsidP="003B5B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lang w:eastAsia="ru-RU"/>
        </w:rPr>
      </w:pPr>
      <w:r w:rsidRPr="003B5B81">
        <w:rPr>
          <w:rFonts w:ascii="Courier New" w:eastAsia="Times New Roman" w:hAnsi="Courier New" w:cs="Courier New"/>
          <w:color w:val="333333"/>
          <w:lang w:eastAsia="ru-RU"/>
        </w:rPr>
        <w:t xml:space="preserve">     г) применение видов выплат компенсационного и стимулирующего</w:t>
      </w:r>
    </w:p>
    <w:p w:rsidR="003B5B81" w:rsidRPr="003B5B81" w:rsidRDefault="003B5B81" w:rsidP="003B5B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lang w:eastAsia="ru-RU"/>
        </w:rPr>
      </w:pPr>
      <w:r w:rsidRPr="003B5B81">
        <w:rPr>
          <w:rFonts w:ascii="Courier New" w:eastAsia="Times New Roman" w:hAnsi="Courier New" w:cs="Courier New"/>
          <w:color w:val="333333"/>
          <w:lang w:eastAsia="ru-RU"/>
        </w:rPr>
        <w:t>характера в соответствии с перечнями видов выплат компенсационного и</w:t>
      </w:r>
    </w:p>
    <w:p w:rsidR="003B5B81" w:rsidRPr="003B5B81" w:rsidRDefault="003B5B81" w:rsidP="003B5B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lang w:eastAsia="ru-RU"/>
        </w:rPr>
      </w:pPr>
      <w:r w:rsidRPr="003B5B81">
        <w:rPr>
          <w:rFonts w:ascii="Courier New" w:eastAsia="Times New Roman" w:hAnsi="Courier New" w:cs="Courier New"/>
          <w:color w:val="333333"/>
          <w:lang w:eastAsia="ru-RU"/>
        </w:rPr>
        <w:t xml:space="preserve">стимулирующего характера, </w:t>
      </w:r>
      <w:proofErr w:type="gramStart"/>
      <w:r w:rsidRPr="003B5B81">
        <w:rPr>
          <w:rFonts w:ascii="Courier New" w:eastAsia="Times New Roman" w:hAnsi="Courier New" w:cs="Courier New"/>
          <w:color w:val="333333"/>
          <w:lang w:eastAsia="ru-RU"/>
        </w:rPr>
        <w:t>утверждаемыми</w:t>
      </w:r>
      <w:proofErr w:type="gramEnd"/>
      <w:r w:rsidRPr="003B5B81">
        <w:rPr>
          <w:rFonts w:ascii="Courier New" w:eastAsia="Times New Roman" w:hAnsi="Courier New" w:cs="Courier New"/>
          <w:color w:val="333333"/>
          <w:lang w:eastAsia="ru-RU"/>
        </w:rPr>
        <w:t xml:space="preserve"> федеральным органом</w:t>
      </w:r>
    </w:p>
    <w:p w:rsidR="003B5B81" w:rsidRPr="003B5B81" w:rsidRDefault="003B5B81" w:rsidP="003B5B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lang w:eastAsia="ru-RU"/>
        </w:rPr>
      </w:pPr>
      <w:r w:rsidRPr="003B5B81">
        <w:rPr>
          <w:rFonts w:ascii="Courier New" w:eastAsia="Times New Roman" w:hAnsi="Courier New" w:cs="Courier New"/>
          <w:color w:val="333333"/>
          <w:lang w:eastAsia="ru-RU"/>
        </w:rPr>
        <w:t xml:space="preserve">исполнительной власти, </w:t>
      </w:r>
      <w:proofErr w:type="gramStart"/>
      <w:r w:rsidRPr="003B5B81">
        <w:rPr>
          <w:rFonts w:ascii="Courier New" w:eastAsia="Times New Roman" w:hAnsi="Courier New" w:cs="Courier New"/>
          <w:color w:val="333333"/>
          <w:lang w:eastAsia="ru-RU"/>
        </w:rPr>
        <w:t>осуществляющим</w:t>
      </w:r>
      <w:proofErr w:type="gramEnd"/>
      <w:r w:rsidRPr="003B5B81">
        <w:rPr>
          <w:rFonts w:ascii="Courier New" w:eastAsia="Times New Roman" w:hAnsi="Courier New" w:cs="Courier New"/>
          <w:color w:val="333333"/>
          <w:lang w:eastAsia="ru-RU"/>
        </w:rPr>
        <w:t xml:space="preserve"> функции по выработке</w:t>
      </w:r>
    </w:p>
    <w:p w:rsidR="003B5B81" w:rsidRPr="003B5B81" w:rsidRDefault="003B5B81" w:rsidP="003B5B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lang w:eastAsia="ru-RU"/>
        </w:rPr>
      </w:pPr>
      <w:r w:rsidRPr="003B5B81">
        <w:rPr>
          <w:rFonts w:ascii="Courier New" w:eastAsia="Times New Roman" w:hAnsi="Courier New" w:cs="Courier New"/>
          <w:color w:val="333333"/>
          <w:lang w:eastAsia="ru-RU"/>
        </w:rPr>
        <w:t>государственной политики и нормативно-правовому регулированию в сфере</w:t>
      </w:r>
    </w:p>
    <w:p w:rsidR="003B5B81" w:rsidRPr="003B5B81" w:rsidRDefault="003B5B81" w:rsidP="003B5B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lang w:eastAsia="ru-RU"/>
        </w:rPr>
      </w:pPr>
      <w:r w:rsidRPr="003B5B81">
        <w:rPr>
          <w:rFonts w:ascii="Courier New" w:eastAsia="Times New Roman" w:hAnsi="Courier New" w:cs="Courier New"/>
          <w:color w:val="333333"/>
          <w:lang w:eastAsia="ru-RU"/>
        </w:rPr>
        <w:t>труда, для федеральных государственных учреждений с учетом положений,</w:t>
      </w:r>
    </w:p>
    <w:p w:rsidR="003B5B81" w:rsidRPr="003B5B81" w:rsidRDefault="003B5B81" w:rsidP="003B5B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lang w:eastAsia="ru-RU"/>
        </w:rPr>
      </w:pPr>
      <w:r w:rsidRPr="003B5B81">
        <w:rPr>
          <w:rFonts w:ascii="Courier New" w:eastAsia="Times New Roman" w:hAnsi="Courier New" w:cs="Courier New"/>
          <w:color w:val="333333"/>
          <w:lang w:eastAsia="ru-RU"/>
        </w:rPr>
        <w:t>предусмотренных разделом V настоящих рекомендаций;</w:t>
      </w:r>
    </w:p>
    <w:p w:rsidR="003B5B81" w:rsidRPr="003B5B81" w:rsidRDefault="003B5B81" w:rsidP="003B5B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lang w:eastAsia="ru-RU"/>
        </w:rPr>
      </w:pPr>
      <w:r w:rsidRPr="003B5B81">
        <w:rPr>
          <w:rFonts w:ascii="Courier New" w:eastAsia="Times New Roman" w:hAnsi="Courier New" w:cs="Courier New"/>
          <w:color w:val="333333"/>
          <w:lang w:eastAsia="ru-RU"/>
        </w:rPr>
        <w:t xml:space="preserve">     </w:t>
      </w:r>
      <w:proofErr w:type="spellStart"/>
      <w:r w:rsidRPr="003B5B81">
        <w:rPr>
          <w:rFonts w:ascii="Courier New" w:eastAsia="Times New Roman" w:hAnsi="Courier New" w:cs="Courier New"/>
          <w:color w:val="333333"/>
          <w:lang w:eastAsia="ru-RU"/>
        </w:rPr>
        <w:t>д</w:t>
      </w:r>
      <w:proofErr w:type="spellEnd"/>
      <w:r w:rsidRPr="003B5B81">
        <w:rPr>
          <w:rFonts w:ascii="Courier New" w:eastAsia="Times New Roman" w:hAnsi="Courier New" w:cs="Courier New"/>
          <w:color w:val="333333"/>
          <w:lang w:eastAsia="ru-RU"/>
        </w:rPr>
        <w:t>) самостоятельное утверждение штатного расписания руководителем</w:t>
      </w:r>
    </w:p>
    <w:p w:rsidR="003B5B81" w:rsidRPr="003B5B81" w:rsidRDefault="003B5B81" w:rsidP="003B5B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lang w:eastAsia="ru-RU"/>
        </w:rPr>
      </w:pPr>
      <w:r w:rsidRPr="003B5B81">
        <w:rPr>
          <w:rFonts w:ascii="Courier New" w:eastAsia="Times New Roman" w:hAnsi="Courier New" w:cs="Courier New"/>
          <w:color w:val="333333"/>
          <w:lang w:eastAsia="ru-RU"/>
        </w:rPr>
        <w:t>учреждения (представителем работодателя);</w:t>
      </w:r>
    </w:p>
    <w:p w:rsidR="003B5B81" w:rsidRPr="003B5B81" w:rsidRDefault="003B5B81" w:rsidP="003B5B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lang w:eastAsia="ru-RU"/>
        </w:rPr>
      </w:pPr>
      <w:r w:rsidRPr="003B5B81">
        <w:rPr>
          <w:rFonts w:ascii="Courier New" w:eastAsia="Times New Roman" w:hAnsi="Courier New" w:cs="Courier New"/>
          <w:color w:val="333333"/>
          <w:lang w:eastAsia="ru-RU"/>
        </w:rPr>
        <w:t xml:space="preserve">     е) установление заработной платы работников учреждений (без учета</w:t>
      </w:r>
    </w:p>
    <w:p w:rsidR="003B5B81" w:rsidRPr="003B5B81" w:rsidRDefault="003B5B81" w:rsidP="003B5B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lang w:eastAsia="ru-RU"/>
        </w:rPr>
      </w:pPr>
      <w:r w:rsidRPr="003B5B81">
        <w:rPr>
          <w:rFonts w:ascii="Courier New" w:eastAsia="Times New Roman" w:hAnsi="Courier New" w:cs="Courier New"/>
          <w:color w:val="333333"/>
          <w:lang w:eastAsia="ru-RU"/>
        </w:rPr>
        <w:t>премий и иных стимулирующих выплат) при введении новых систем оплаты</w:t>
      </w:r>
    </w:p>
    <w:p w:rsidR="003B5B81" w:rsidRPr="003B5B81" w:rsidRDefault="003B5B81" w:rsidP="003B5B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333333"/>
          <w:lang w:eastAsia="ru-RU"/>
        </w:rPr>
      </w:pPr>
      <w:proofErr w:type="gramStart"/>
      <w:r w:rsidRPr="003B5B81">
        <w:rPr>
          <w:rFonts w:ascii="Courier New" w:eastAsia="Times New Roman" w:hAnsi="Courier New" w:cs="Courier New"/>
          <w:color w:val="333333"/>
          <w:lang w:eastAsia="ru-RU"/>
        </w:rPr>
        <w:t>труда и их изменении (совершенствовании) в размере не меньше заработной</w:t>
      </w:r>
      <w:r>
        <w:rPr>
          <w:rFonts w:ascii="Courier New" w:eastAsia="Times New Roman" w:hAnsi="Courier New" w:cs="Courier New"/>
          <w:color w:val="333333"/>
          <w:lang w:eastAsia="ru-RU"/>
        </w:rPr>
        <w:t xml:space="preserve"> </w:t>
      </w:r>
      <w:r w:rsidRPr="003B5B81">
        <w:rPr>
          <w:rFonts w:ascii="Courier New" w:eastAsia="Times New Roman" w:hAnsi="Courier New" w:cs="Courier New"/>
          <w:color w:val="333333"/>
          <w:lang w:eastAsia="ru-RU"/>
        </w:rPr>
        <w:t>платы (без учета премий и иных стимулирующих выплат), выплачиваемой этим</w:t>
      </w:r>
      <w:r>
        <w:rPr>
          <w:rFonts w:ascii="Courier New" w:eastAsia="Times New Roman" w:hAnsi="Courier New" w:cs="Courier New"/>
          <w:color w:val="333333"/>
          <w:lang w:eastAsia="ru-RU"/>
        </w:rPr>
        <w:t xml:space="preserve"> </w:t>
      </w:r>
      <w:r w:rsidRPr="003B5B81">
        <w:rPr>
          <w:rFonts w:ascii="Courier New" w:eastAsia="Times New Roman" w:hAnsi="Courier New" w:cs="Courier New"/>
          <w:color w:val="333333"/>
          <w:lang w:eastAsia="ru-RU"/>
        </w:rPr>
        <w:t>работникам до введения таких систем оплаты труда и их изменения, при</w:t>
      </w:r>
      <w:r>
        <w:rPr>
          <w:rFonts w:ascii="Courier New" w:eastAsia="Times New Roman" w:hAnsi="Courier New" w:cs="Courier New"/>
          <w:color w:val="333333"/>
          <w:lang w:eastAsia="ru-RU"/>
        </w:rPr>
        <w:t xml:space="preserve"> </w:t>
      </w:r>
      <w:r w:rsidRPr="003B5B81">
        <w:rPr>
          <w:rFonts w:ascii="Courier New" w:eastAsia="Times New Roman" w:hAnsi="Courier New" w:cs="Courier New"/>
          <w:color w:val="333333"/>
          <w:lang w:eastAsia="ru-RU"/>
        </w:rPr>
        <w:t>условии сохранения объема трудовых (должностных) обязанностей работников</w:t>
      </w:r>
      <w:r>
        <w:rPr>
          <w:rFonts w:ascii="Courier New" w:eastAsia="Times New Roman" w:hAnsi="Courier New" w:cs="Courier New"/>
          <w:color w:val="333333"/>
          <w:lang w:eastAsia="ru-RU"/>
        </w:rPr>
        <w:t xml:space="preserve"> </w:t>
      </w:r>
      <w:r w:rsidRPr="003B5B81">
        <w:rPr>
          <w:rFonts w:ascii="Courier New" w:eastAsia="Times New Roman" w:hAnsi="Courier New" w:cs="Courier New"/>
          <w:color w:val="333333"/>
          <w:lang w:eastAsia="ru-RU"/>
        </w:rPr>
        <w:t>и выполнения ими работ той же квалификации.</w:t>
      </w:r>
      <w:proofErr w:type="gramEnd"/>
    </w:p>
    <w:p w:rsidR="00527CBA" w:rsidRDefault="00527CBA"/>
    <w:p w:rsidR="003B5B81" w:rsidRPr="003B5B81" w:rsidRDefault="003B5B81" w:rsidP="003B5B81">
      <w:pPr>
        <w:pStyle w:val="HTML"/>
        <w:shd w:val="clear" w:color="auto" w:fill="FFFFFF"/>
        <w:rPr>
          <w:b/>
          <w:color w:val="333333"/>
          <w:sz w:val="22"/>
          <w:szCs w:val="22"/>
        </w:rPr>
      </w:pPr>
      <w:r w:rsidRPr="003B5B81">
        <w:rPr>
          <w:b/>
          <w:color w:val="333333"/>
          <w:sz w:val="22"/>
          <w:szCs w:val="22"/>
        </w:rPr>
        <w:t xml:space="preserve">IX. Особенности </w:t>
      </w:r>
      <w:proofErr w:type="gramStart"/>
      <w:r w:rsidRPr="003B5B81">
        <w:rPr>
          <w:b/>
          <w:color w:val="333333"/>
          <w:sz w:val="22"/>
          <w:szCs w:val="22"/>
        </w:rPr>
        <w:t>формирования систем оплаты труда работников сферы</w:t>
      </w:r>
      <w:proofErr w:type="gramEnd"/>
    </w:p>
    <w:p w:rsidR="003B5B81" w:rsidRPr="003B5B81" w:rsidRDefault="003B5B81" w:rsidP="003B5B81">
      <w:pPr>
        <w:pStyle w:val="HTML"/>
        <w:shd w:val="clear" w:color="auto" w:fill="FFFFFF"/>
        <w:rPr>
          <w:b/>
          <w:color w:val="333333"/>
          <w:sz w:val="22"/>
          <w:szCs w:val="22"/>
        </w:rPr>
      </w:pPr>
      <w:r w:rsidRPr="003B5B81">
        <w:rPr>
          <w:b/>
          <w:color w:val="333333"/>
          <w:sz w:val="22"/>
          <w:szCs w:val="22"/>
        </w:rPr>
        <w:t xml:space="preserve">                               образования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     36. Федеральным органам исполнительной власти, органам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государственной власти субъектов Российской Федерации, органам местного самоуправления и руководителям государственных и муниципальных образовательных учреждений при формировании систем </w:t>
      </w:r>
      <w:r>
        <w:rPr>
          <w:color w:val="333333"/>
          <w:sz w:val="22"/>
          <w:szCs w:val="22"/>
        </w:rPr>
        <w:lastRenderedPageBreak/>
        <w:t>оплаты труда педагогических и иных работников сферы образования в 2020 году необходимо учитывать следующее.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     Не допускать снижения уровня заработной платы работников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образовательных учреждений, в том числе педагогических работников,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достигнутого в 2019 году и определяемого на основе статистических данных Федеральной службы государственной статистики.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     В целях развития кадрового потенциала, повышения престижности и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привлекательности педагогической профессии совершенствование систем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proofErr w:type="gramStart"/>
      <w:r>
        <w:rPr>
          <w:color w:val="333333"/>
          <w:sz w:val="22"/>
          <w:szCs w:val="22"/>
        </w:rPr>
        <w:t>оплаты труда педагогических и иных работников рекомендуется осуществлять на основе квалификационных уровней профессиональных квалификационных групп, утвержденных в установленном порядке, с учетом перераспределения средств, предназначенных для оплаты труда в организациях, так, чтобы на установление окладов (должностных окладов), ставок заработной платы работников направлялось не менее 70 процентов фонда оплаты труда организации (без учета части фонда оплаты труда, предназначенного на выплаты компенсационного характера</w:t>
      </w:r>
      <w:proofErr w:type="gramEnd"/>
      <w:r>
        <w:rPr>
          <w:color w:val="333333"/>
          <w:sz w:val="22"/>
          <w:szCs w:val="22"/>
        </w:rPr>
        <w:t>, связанные с работой в местностях с особыми климатическими условиями, в сельской местности, а также в организациях, в которых за специфику работы выплаты компенсационного характера предусмотрены по двум и более основаниям).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     Определять предельную долю расходов на оплату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административно-управленческого и вспомогательного персонала в фонде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оплаты труда образовательных учреждений в объеме не более 40 процентов.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     Обеспечивать формирование систем оплаты труда работников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общеобразовательных организаций, в том числе прозрачность порядка,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условий и критериев установления работникам образовательных учреждений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выплат стимулирующего характера с учетом методических рекомендаций </w:t>
      </w:r>
      <w:proofErr w:type="gramStart"/>
      <w:r>
        <w:rPr>
          <w:color w:val="333333"/>
          <w:sz w:val="22"/>
          <w:szCs w:val="22"/>
        </w:rPr>
        <w:t>по</w:t>
      </w:r>
      <w:proofErr w:type="gramEnd"/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формированию системы оплаты труда работников общеобразовательных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организаций, направленных руководителям органов исполнительной власти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субъектов Российской Федерации, осуществляющих государственное управление в сфере образования (письмо </w:t>
      </w:r>
      <w:proofErr w:type="spellStart"/>
      <w:r>
        <w:rPr>
          <w:color w:val="333333"/>
          <w:sz w:val="22"/>
          <w:szCs w:val="22"/>
        </w:rPr>
        <w:t>Минобрнауки</w:t>
      </w:r>
      <w:proofErr w:type="spellEnd"/>
      <w:r>
        <w:rPr>
          <w:color w:val="333333"/>
          <w:sz w:val="22"/>
          <w:szCs w:val="22"/>
        </w:rPr>
        <w:t xml:space="preserve"> России от 29 декабря 2017 г. N ВП-1992/02), а также утвержденных приказом Министерства науки и высшего образования Российской Федерации от 13 декабря 2018 г. N 73н.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     Определять продолжительность рабочего времени </w:t>
      </w:r>
      <w:proofErr w:type="gramStart"/>
      <w:r>
        <w:rPr>
          <w:color w:val="333333"/>
          <w:sz w:val="22"/>
          <w:szCs w:val="22"/>
        </w:rPr>
        <w:t>педагогических</w:t>
      </w:r>
      <w:proofErr w:type="gramEnd"/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работников или нормы часов педагогической работы за ставку заработной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proofErr w:type="gramStart"/>
      <w:r>
        <w:rPr>
          <w:color w:val="333333"/>
          <w:sz w:val="22"/>
          <w:szCs w:val="22"/>
        </w:rPr>
        <w:t>платы в неделю (в год) в соответствии с положениями приказа Министерства образования и науки Российской Федерации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 (далее - приказ N 1601), предусматривающими, что в зависимости от должности и</w:t>
      </w:r>
      <w:proofErr w:type="gramEnd"/>
      <w:r>
        <w:rPr>
          <w:color w:val="333333"/>
          <w:sz w:val="22"/>
          <w:szCs w:val="22"/>
        </w:rPr>
        <w:t xml:space="preserve"> (или) специальности педагогических работников с учетом особенностей их труда устанавливается либо продолжительность рабочего времени, составляющая 30 или 36 часов в неделю, либо норма часов педагогической работы за ставку заработной платы, составляющая 18, 20,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24, 25, 30, 36 часов в неделю или 720 часов в год.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     </w:t>
      </w:r>
      <w:proofErr w:type="gramStart"/>
      <w:r>
        <w:rPr>
          <w:color w:val="333333"/>
          <w:sz w:val="22"/>
          <w:szCs w:val="22"/>
        </w:rPr>
        <w:t>При заключении трудовых договоров (дополнительных соглашений к</w:t>
      </w:r>
      <w:proofErr w:type="gramEnd"/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трудовым договорам) с педагогическими работниками, для которых нормы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часов педагогической работы за ставку заработной платы в неделю (в год)</w:t>
      </w:r>
      <w:r w:rsidR="005C23E2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установлены пунктами 2.3 - 2.8 приложения 1 к приказу N 1601),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обеспечивать включение в них условий, связанных </w:t>
      </w:r>
      <w:proofErr w:type="gramStart"/>
      <w:r>
        <w:rPr>
          <w:color w:val="333333"/>
          <w:sz w:val="22"/>
          <w:szCs w:val="22"/>
        </w:rPr>
        <w:t>с</w:t>
      </w:r>
      <w:proofErr w:type="gramEnd"/>
      <w:r>
        <w:rPr>
          <w:color w:val="333333"/>
          <w:sz w:val="22"/>
          <w:szCs w:val="22"/>
        </w:rPr>
        <w:t>: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     размером ставки заработной платы, установленной за норму часов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учебной (преподавательской) или педагогической работы за ставку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заработной платы и размером фактического объема учебной нагрузки,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proofErr w:type="gramStart"/>
      <w:r>
        <w:rPr>
          <w:color w:val="333333"/>
          <w:sz w:val="22"/>
          <w:szCs w:val="22"/>
        </w:rPr>
        <w:t>определяемым ежегодно на начало учебного года (тренировочного периода,</w:t>
      </w:r>
      <w:proofErr w:type="gramEnd"/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lastRenderedPageBreak/>
        <w:t>спортивного сезона) в порядке, предусмотренном разделами II - V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приложения 2 к приказу N 1601;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     размером заработной платы, исчисленным с учетом фактического объема</w:t>
      </w:r>
      <w:r w:rsidR="005C23E2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учебной нагрузки, фактического объема педагогической работы;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     уточнением правил применения повышающих коэффициентов и (или)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повышений, устанавливаемых в процентах (в абсолютных величинах) </w:t>
      </w:r>
      <w:proofErr w:type="gramStart"/>
      <w:r>
        <w:rPr>
          <w:color w:val="333333"/>
          <w:sz w:val="22"/>
          <w:szCs w:val="22"/>
        </w:rPr>
        <w:t>за</w:t>
      </w:r>
      <w:proofErr w:type="gramEnd"/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наличие квалификационной категории, а также по иным основаниям при оплате</w:t>
      </w:r>
      <w:r w:rsidR="005C23E2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труда педагогических работников, для которых пунктами 2.3 - 2.8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приложения 1 к приказу N 1601 установлены нормы часов учебной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(преподавательской) или педагогической работы за ставку заработной платы</w:t>
      </w:r>
      <w:r w:rsidR="005C23E2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(правила применения повышающих коэффициентов приводятся далее в настоящем</w:t>
      </w:r>
      <w:r w:rsidR="005C23E2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пункте в положениях, определяющих правила исчисления заработной платы</w:t>
      </w:r>
      <w:r w:rsidR="005C23E2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педагогических работников с учетом фактического объема педагогической или</w:t>
      </w:r>
      <w:r w:rsidR="005C23E2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учебной (преподавательской) работы);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     размерами и факторами, обусловливающими получение выплат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компенсационного характера, в том числе выплат за работу в условиях,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proofErr w:type="gramStart"/>
      <w:r>
        <w:rPr>
          <w:color w:val="333333"/>
          <w:sz w:val="22"/>
          <w:szCs w:val="22"/>
        </w:rPr>
        <w:t>отклоняющихся</w:t>
      </w:r>
      <w:proofErr w:type="gramEnd"/>
      <w:r>
        <w:rPr>
          <w:color w:val="333333"/>
          <w:sz w:val="22"/>
          <w:szCs w:val="22"/>
        </w:rPr>
        <w:t xml:space="preserve"> от нормальных, к которым могут быть отнесены выплаты за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дополнительную работу, связанную с классным руководством, проверкой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письменных работ, заведованием отделениями, филиалами,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учебно-консультационными пунктами, кабинетами, отделами, учебными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мастерскими, лабораториями, учебно-опытными участками, руководством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предметными, цикловыми и методическими комиссиями и другими видами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дополнительной работы, определение которых следует осуществлять </w:t>
      </w:r>
      <w:proofErr w:type="gramStart"/>
      <w:r>
        <w:rPr>
          <w:color w:val="333333"/>
          <w:sz w:val="22"/>
          <w:szCs w:val="22"/>
        </w:rPr>
        <w:t>из</w:t>
      </w:r>
      <w:proofErr w:type="gramEnd"/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размеров ставок заработной платы, установленных в организации </w:t>
      </w:r>
      <w:proofErr w:type="gramStart"/>
      <w:r>
        <w:rPr>
          <w:color w:val="333333"/>
          <w:sz w:val="22"/>
          <w:szCs w:val="22"/>
        </w:rPr>
        <w:t>по</w:t>
      </w:r>
      <w:proofErr w:type="gramEnd"/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квалификационному уровню профессиональных квалификационных групп (далее </w:t>
      </w:r>
      <w:proofErr w:type="gramStart"/>
      <w:r>
        <w:rPr>
          <w:color w:val="333333"/>
          <w:sz w:val="22"/>
          <w:szCs w:val="22"/>
        </w:rPr>
        <w:t>-П</w:t>
      </w:r>
      <w:proofErr w:type="gramEnd"/>
      <w:r>
        <w:rPr>
          <w:color w:val="333333"/>
          <w:sz w:val="22"/>
          <w:szCs w:val="22"/>
        </w:rPr>
        <w:t>КГ) без применения к ним каких-либо повышающих коэффициентов и (или)повышений, устанавливаемых в процентах (в абсолютных величинах);размерами и условиями выплат стимулирующего характера.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     В системах оплаты труда педагогических работников, поименованных в</w:t>
      </w:r>
      <w:r w:rsidR="005C23E2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 xml:space="preserve">пунктах 2.3 - 2.8 приложения 1 к приказу N 1601, выполняющих </w:t>
      </w:r>
      <w:proofErr w:type="gramStart"/>
      <w:r>
        <w:rPr>
          <w:color w:val="333333"/>
          <w:sz w:val="22"/>
          <w:szCs w:val="22"/>
        </w:rPr>
        <w:t>с</w:t>
      </w:r>
      <w:proofErr w:type="gramEnd"/>
      <w:r>
        <w:rPr>
          <w:color w:val="333333"/>
          <w:sz w:val="22"/>
          <w:szCs w:val="22"/>
        </w:rPr>
        <w:t xml:space="preserve"> </w:t>
      </w:r>
      <w:proofErr w:type="gramStart"/>
      <w:r>
        <w:rPr>
          <w:color w:val="333333"/>
          <w:sz w:val="22"/>
          <w:szCs w:val="22"/>
        </w:rPr>
        <w:t>их</w:t>
      </w:r>
      <w:proofErr w:type="gramEnd"/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письменного согласия </w:t>
      </w:r>
      <w:proofErr w:type="gramStart"/>
      <w:r>
        <w:rPr>
          <w:color w:val="333333"/>
          <w:sz w:val="22"/>
          <w:szCs w:val="22"/>
        </w:rPr>
        <w:t>педагогическую</w:t>
      </w:r>
      <w:proofErr w:type="gramEnd"/>
      <w:r>
        <w:rPr>
          <w:color w:val="333333"/>
          <w:sz w:val="22"/>
          <w:szCs w:val="22"/>
        </w:rPr>
        <w:t xml:space="preserve"> или учебную (преподавательскую)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работу сверх установленной нормы часов в неделю (в год) за ставку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proofErr w:type="gramStart"/>
      <w:r>
        <w:rPr>
          <w:color w:val="333333"/>
          <w:sz w:val="22"/>
          <w:szCs w:val="22"/>
        </w:rPr>
        <w:t>заработной платы либо ниже установленной нормы часов в неделю (в год) за</w:t>
      </w:r>
      <w:r w:rsidR="005C23E2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ставку заработной платы, в целях обеспечения равной оплаты за труд равной</w:t>
      </w:r>
      <w:r w:rsidR="005C23E2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ценности педагогических работников предусматривать следующий порядок</w:t>
      </w:r>
      <w:r w:rsidR="005C23E2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исчисления заработной платы за весь объем педагогической или учебной</w:t>
      </w:r>
      <w:r w:rsidR="005C23E2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(преподавательской) работы:</w:t>
      </w:r>
      <w:proofErr w:type="gramEnd"/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     для педагогических работников, поименованных в пунктах 2.3 - 2.7 и в подпункте 2.8.1 указанного приказа, - путем умножения размеров ставок заработной платы, установленных за календарный месяц по квалификационному уровню ПКГ без применения к ним каких-либо повышающих коэффициентов </w:t>
      </w:r>
      <w:proofErr w:type="gramStart"/>
      <w:r>
        <w:rPr>
          <w:color w:val="333333"/>
          <w:sz w:val="22"/>
          <w:szCs w:val="22"/>
        </w:rPr>
        <w:t>и(</w:t>
      </w:r>
      <w:proofErr w:type="gramEnd"/>
      <w:r>
        <w:rPr>
          <w:color w:val="333333"/>
          <w:sz w:val="22"/>
          <w:szCs w:val="22"/>
        </w:rPr>
        <w:t>или) повышений, устанавливаемых в процентах (в абсолютных величинах) за квалификационные категории или по иным основаниям, на фактический объем учебной нагрузки (педагогической работы) в неделю и деления полученного</w:t>
      </w:r>
      <w:r w:rsidR="005C23E2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произведения на норму часов преподавательской или педагогической работы в</w:t>
      </w:r>
      <w:r w:rsidR="005C23E2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неделю, установленную за ставку заработной платы;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     для преподавателей образовательных организаций, реализующих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образовательные программы среднего профессионального образования, а также</w:t>
      </w:r>
      <w:r w:rsidR="005C23E2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программы профессионального обучения, для которых подпунктом 2.8.2указанного приказа установлена норма часов педагогической работы за</w:t>
      </w:r>
      <w:r w:rsidR="005C23E2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ставку заработной платы 720 часов в год, - путем определения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среднемесячной заработной платы, для расчета которой часовая ставка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преподавателя умножается на установленный ему объем годовой учебной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нагрузки и деления полученного произведения на 10 учебных месяцев.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Часовая ставка определяется путем деления месячной ставки заработной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платы, установленной по квалификационному уровню ПКГ без применения к ней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lastRenderedPageBreak/>
        <w:t>каких-либо повышающих коэффициентов и (или) повышений за квалификационные</w:t>
      </w:r>
      <w:r w:rsidR="005C23E2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категории или по иным основаниям, на среднемесячную норму учебной</w:t>
      </w:r>
      <w:r w:rsidR="005C23E2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нагрузки (72 часа).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     Применение повышающих коэффициентов и (или) повышений,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proofErr w:type="gramStart"/>
      <w:r>
        <w:rPr>
          <w:color w:val="333333"/>
          <w:sz w:val="22"/>
          <w:szCs w:val="22"/>
        </w:rPr>
        <w:t>устанавливаемых в процентах (в абсолютных величинах) при оплате труда</w:t>
      </w:r>
      <w:proofErr w:type="gramEnd"/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педагогических работников, для которых установлены нормы часов учебной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(преподавательской) или педагогической работы за ставку заработной платы,</w:t>
      </w:r>
      <w:r w:rsidR="005C23E2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за наличие квалификационных категорий, а также за работу в организациях,</w:t>
      </w:r>
      <w:r w:rsidR="005C23E2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расположенных в сельской местности, за специфику работы в организация</w:t>
      </w:r>
      <w:proofErr w:type="gramStart"/>
      <w:r>
        <w:rPr>
          <w:color w:val="333333"/>
          <w:sz w:val="22"/>
          <w:szCs w:val="22"/>
        </w:rPr>
        <w:t>х(</w:t>
      </w:r>
      <w:proofErr w:type="gramEnd"/>
      <w:r>
        <w:rPr>
          <w:color w:val="333333"/>
          <w:sz w:val="22"/>
          <w:szCs w:val="22"/>
        </w:rPr>
        <w:t>отделениях, классах, группах) для обучающихся с ограниченными</w:t>
      </w:r>
      <w:r w:rsidR="005C23E2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возможностями здоровья и (или) нуждающихся в длительном лечении, в</w:t>
      </w:r>
      <w:r w:rsidR="005C23E2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учреждениях для детей-сирот и детей, оставшихся без попечения родителей,</w:t>
      </w:r>
      <w:r w:rsidR="005C23E2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в специальных учебно-воспитательных учреждениях открытого и закрытого</w:t>
      </w:r>
      <w:r w:rsidR="005C23E2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 xml:space="preserve">типа для детей и подростков с </w:t>
      </w:r>
      <w:proofErr w:type="spellStart"/>
      <w:r>
        <w:rPr>
          <w:color w:val="333333"/>
          <w:sz w:val="22"/>
          <w:szCs w:val="22"/>
        </w:rPr>
        <w:t>девиантным</w:t>
      </w:r>
      <w:proofErr w:type="spellEnd"/>
      <w:r>
        <w:rPr>
          <w:color w:val="333333"/>
          <w:sz w:val="22"/>
          <w:szCs w:val="22"/>
        </w:rPr>
        <w:t xml:space="preserve"> (общественно опасным) поведением</w:t>
      </w:r>
      <w:r w:rsidR="005C23E2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и по другим основаниям, следует осуществлять путем умножения размера</w:t>
      </w:r>
      <w:r w:rsidR="005C23E2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 xml:space="preserve">заработной платы, исчисленного за фактический объем учебной нагрузки </w:t>
      </w:r>
      <w:proofErr w:type="gramStart"/>
      <w:r>
        <w:rPr>
          <w:color w:val="333333"/>
          <w:sz w:val="22"/>
          <w:szCs w:val="22"/>
        </w:rPr>
        <w:t>и(</w:t>
      </w:r>
      <w:proofErr w:type="gramEnd"/>
      <w:r>
        <w:rPr>
          <w:color w:val="333333"/>
          <w:sz w:val="22"/>
          <w:szCs w:val="22"/>
        </w:rPr>
        <w:t>или) фактический объем педагогической работы из размеров ставок</w:t>
      </w:r>
      <w:r w:rsidR="005C23E2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заработной платы, предусмотренных по каждому квалификационному уровню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ПКГ, на величину повышающих коэффициентов и (или) повышений,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proofErr w:type="gramStart"/>
      <w:r>
        <w:rPr>
          <w:color w:val="333333"/>
          <w:sz w:val="22"/>
          <w:szCs w:val="22"/>
        </w:rPr>
        <w:t>установленных в процентах (в абсолютных величинах).</w:t>
      </w:r>
      <w:proofErr w:type="gramEnd"/>
    </w:p>
    <w:p w:rsidR="003B5B81" w:rsidRPr="005C23E2" w:rsidRDefault="003B5B81" w:rsidP="003B5B81">
      <w:pPr>
        <w:pStyle w:val="HTML"/>
        <w:shd w:val="clear" w:color="auto" w:fill="FFFFFF"/>
        <w:rPr>
          <w:b/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     </w:t>
      </w:r>
      <w:r w:rsidRPr="005C23E2">
        <w:rPr>
          <w:b/>
          <w:color w:val="333333"/>
          <w:sz w:val="22"/>
          <w:szCs w:val="22"/>
        </w:rPr>
        <w:t>При наличии у работников права на применение повышающих</w:t>
      </w:r>
    </w:p>
    <w:p w:rsidR="003B5B81" w:rsidRPr="005C23E2" w:rsidRDefault="003B5B81" w:rsidP="003B5B81">
      <w:pPr>
        <w:pStyle w:val="HTML"/>
        <w:shd w:val="clear" w:color="auto" w:fill="FFFFFF"/>
        <w:rPr>
          <w:b/>
          <w:color w:val="333333"/>
          <w:sz w:val="22"/>
          <w:szCs w:val="22"/>
        </w:rPr>
      </w:pPr>
      <w:r w:rsidRPr="005C23E2">
        <w:rPr>
          <w:b/>
          <w:color w:val="333333"/>
          <w:sz w:val="22"/>
          <w:szCs w:val="22"/>
        </w:rPr>
        <w:t>коэффициентов и (или) повышений, установленных в процентах (в абсолютных</w:t>
      </w:r>
      <w:r w:rsidR="005C23E2" w:rsidRPr="005C23E2">
        <w:rPr>
          <w:b/>
          <w:color w:val="333333"/>
          <w:sz w:val="22"/>
          <w:szCs w:val="22"/>
        </w:rPr>
        <w:t xml:space="preserve"> </w:t>
      </w:r>
      <w:r w:rsidRPr="005C23E2">
        <w:rPr>
          <w:b/>
          <w:color w:val="333333"/>
          <w:sz w:val="22"/>
          <w:szCs w:val="22"/>
        </w:rPr>
        <w:t>величинах) по нескольким основаниям, их величины по каждому основанию</w:t>
      </w:r>
      <w:r w:rsidR="005C23E2" w:rsidRPr="005C23E2">
        <w:rPr>
          <w:b/>
          <w:color w:val="333333"/>
          <w:sz w:val="22"/>
          <w:szCs w:val="22"/>
        </w:rPr>
        <w:t xml:space="preserve"> </w:t>
      </w:r>
      <w:r w:rsidRPr="005C23E2">
        <w:rPr>
          <w:b/>
          <w:color w:val="333333"/>
          <w:sz w:val="22"/>
          <w:szCs w:val="22"/>
        </w:rPr>
        <w:t>определять отдельно без учета других повышающих коэффициентов и (или</w:t>
      </w:r>
      <w:proofErr w:type="gramStart"/>
      <w:r w:rsidRPr="005C23E2">
        <w:rPr>
          <w:b/>
          <w:color w:val="333333"/>
          <w:sz w:val="22"/>
          <w:szCs w:val="22"/>
        </w:rPr>
        <w:t>)п</w:t>
      </w:r>
      <w:proofErr w:type="gramEnd"/>
      <w:r w:rsidRPr="005C23E2">
        <w:rPr>
          <w:b/>
          <w:color w:val="333333"/>
          <w:sz w:val="22"/>
          <w:szCs w:val="22"/>
        </w:rPr>
        <w:t>овышений, установленных в процентах (в абсолютных величинах), которые</w:t>
      </w:r>
      <w:r w:rsidR="005C23E2" w:rsidRPr="005C23E2">
        <w:rPr>
          <w:b/>
          <w:color w:val="333333"/>
          <w:sz w:val="22"/>
          <w:szCs w:val="22"/>
        </w:rPr>
        <w:t xml:space="preserve"> </w:t>
      </w:r>
      <w:r w:rsidRPr="005C23E2">
        <w:rPr>
          <w:b/>
          <w:color w:val="333333"/>
          <w:sz w:val="22"/>
          <w:szCs w:val="22"/>
        </w:rPr>
        <w:t>затем суммировать и применять путем умножения образовавшейся величины на</w:t>
      </w:r>
      <w:r w:rsidR="005C23E2" w:rsidRPr="005C23E2">
        <w:rPr>
          <w:b/>
          <w:color w:val="333333"/>
          <w:sz w:val="22"/>
          <w:szCs w:val="22"/>
        </w:rPr>
        <w:t xml:space="preserve"> </w:t>
      </w:r>
      <w:r w:rsidRPr="005C23E2">
        <w:rPr>
          <w:b/>
          <w:color w:val="333333"/>
          <w:sz w:val="22"/>
          <w:szCs w:val="22"/>
        </w:rPr>
        <w:t>размер заработной платы, исчисленный за фактический объем учебной</w:t>
      </w:r>
      <w:r w:rsidR="005C23E2" w:rsidRPr="005C23E2">
        <w:rPr>
          <w:b/>
          <w:color w:val="333333"/>
          <w:sz w:val="22"/>
          <w:szCs w:val="22"/>
        </w:rPr>
        <w:t xml:space="preserve"> </w:t>
      </w:r>
      <w:r w:rsidRPr="005C23E2">
        <w:rPr>
          <w:b/>
          <w:color w:val="333333"/>
          <w:sz w:val="22"/>
          <w:szCs w:val="22"/>
        </w:rPr>
        <w:t>нагрузки и (или) педагогической работы.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     Ставки заработной платы за календарный месяц, устанавливаемые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педагогическим работникам, поименованным в подпунктах 2.8.1 и 2.8.2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приложения 1 к приказу N 1601, за норму часов педагогической работы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proofErr w:type="gramStart"/>
      <w:r>
        <w:rPr>
          <w:color w:val="333333"/>
          <w:sz w:val="22"/>
          <w:szCs w:val="22"/>
        </w:rPr>
        <w:t>соответственно 18 часов в неделю, 720 часов в год, и являющиеся для них</w:t>
      </w:r>
      <w:r w:rsidR="005C23E2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нормируемой частью их педагогической работы, выплачиваются указанным</w:t>
      </w:r>
      <w:r w:rsidR="005C23E2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педагогическим работникам с учетом выполнения ими другой педагогической</w:t>
      </w:r>
      <w:r w:rsidR="005C23E2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работы, входящей в их должностные обязанности в соответствии с</w:t>
      </w:r>
      <w:r w:rsidR="005C23E2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квалификационной характеристикой, которая именуется "другая часть</w:t>
      </w:r>
      <w:r w:rsidR="005C23E2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педагогической работы" и регулируется в порядке, установленном разделом</w:t>
      </w:r>
      <w:r w:rsidR="005C23E2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II приложения к приказу Министерства образования и науки Российской</w:t>
      </w:r>
      <w:proofErr w:type="gramEnd"/>
      <w:r w:rsidR="005C23E2">
        <w:rPr>
          <w:color w:val="333333"/>
          <w:sz w:val="22"/>
          <w:szCs w:val="22"/>
        </w:rPr>
        <w:t xml:space="preserve"> </w:t>
      </w:r>
      <w:proofErr w:type="gramStart"/>
      <w:r>
        <w:rPr>
          <w:color w:val="333333"/>
          <w:sz w:val="22"/>
          <w:szCs w:val="22"/>
        </w:rPr>
        <w:t>Федерации от 11 мая 2016 г. N 536 "Об утверждении Особенностей режима</w:t>
      </w:r>
      <w:r w:rsidR="005C23E2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рабочего времени и времени отдыха педагогических и иных работников</w:t>
      </w:r>
      <w:r w:rsidR="005C23E2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организаций, осуществляющих образовательную деятельность" (далее -</w:t>
      </w:r>
      <w:proofErr w:type="gramEnd"/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приложение 1 к приказу N 536).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     Согласно пункту 2.2 приложения 2 к приказу N 1601 </w:t>
      </w:r>
      <w:proofErr w:type="gramStart"/>
      <w:r>
        <w:rPr>
          <w:color w:val="333333"/>
          <w:sz w:val="22"/>
          <w:szCs w:val="22"/>
        </w:rPr>
        <w:t>отдельным</w:t>
      </w:r>
      <w:proofErr w:type="gramEnd"/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учителям, которым не может быть обеспечена учебная нагрузка в объеме,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proofErr w:type="gramStart"/>
      <w:r>
        <w:rPr>
          <w:color w:val="333333"/>
          <w:sz w:val="22"/>
          <w:szCs w:val="22"/>
        </w:rPr>
        <w:t>соответствующем</w:t>
      </w:r>
      <w:proofErr w:type="gramEnd"/>
      <w:r>
        <w:rPr>
          <w:color w:val="333333"/>
          <w:sz w:val="22"/>
          <w:szCs w:val="22"/>
        </w:rPr>
        <w:t xml:space="preserve"> норме часов учебной (преподавательской) работы,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proofErr w:type="gramStart"/>
      <w:r>
        <w:rPr>
          <w:color w:val="333333"/>
          <w:sz w:val="22"/>
          <w:szCs w:val="22"/>
        </w:rPr>
        <w:t>установленной за ставку заработной платы в неделю, должна обеспечиваться</w:t>
      </w:r>
      <w:r w:rsidR="005C23E2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выплата ставок заработной платы в полном объеме при условии догрузки их</w:t>
      </w:r>
      <w:r w:rsidR="005C23E2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до установленной нормы часов другой педагогической работой.</w:t>
      </w:r>
      <w:proofErr w:type="gramEnd"/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     Согласно пункту 1.4 приложения 2 к приказу N 1601 </w:t>
      </w:r>
      <w:proofErr w:type="gramStart"/>
      <w:r>
        <w:rPr>
          <w:color w:val="333333"/>
          <w:sz w:val="22"/>
          <w:szCs w:val="22"/>
        </w:rPr>
        <w:t>в</w:t>
      </w:r>
      <w:proofErr w:type="gramEnd"/>
      <w:r>
        <w:rPr>
          <w:color w:val="333333"/>
          <w:sz w:val="22"/>
          <w:szCs w:val="22"/>
        </w:rPr>
        <w:t xml:space="preserve"> трудовые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договоры (дополнительные соглашения к трудовому договору) педагогических</w:t>
      </w:r>
      <w:r w:rsidR="005C23E2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работников, замещающих должности профессорско-преподавательского состава</w:t>
      </w:r>
      <w:r w:rsidR="005C23E2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организаций, осуществляющих образовательную деятельность по</w:t>
      </w:r>
      <w:r w:rsidR="005C23E2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образовательным программам высшего образования, дополнительным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lastRenderedPageBreak/>
        <w:t>профессиональным программам (далее - организация), должен включаться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объем учебной нагрузки, установленный в порядке, предусмотренном пунктом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6.1 указанного приказа, с учетом которого: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     для определения объема учебной нагрузки</w:t>
      </w:r>
      <w:r w:rsidR="005C23E2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профессорско-преподавательского состава ежегодно на начало учебного года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локальным нормативным актом организации по структурным подразделениям с</w:t>
      </w:r>
      <w:r w:rsidR="005C23E2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учетом обеспечиваемых ими направлений подготовки устанавливается средний</w:t>
      </w:r>
      <w:r w:rsidR="005C23E2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объем учебной нагрузки, а также ее верхние пределы дифференцированно по</w:t>
      </w:r>
      <w:r w:rsidR="005C23E2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должностям профессорско-преподавательского состава;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     учебная нагрузка каждого педагогического работника, замещающего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должности профессорско-преподавательского состава, определяется </w:t>
      </w:r>
      <w:proofErr w:type="gramStart"/>
      <w:r>
        <w:rPr>
          <w:color w:val="333333"/>
          <w:sz w:val="22"/>
          <w:szCs w:val="22"/>
        </w:rPr>
        <w:t>в</w:t>
      </w:r>
      <w:proofErr w:type="gramEnd"/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зависимости от занимаемой им должности, уровня квалификации и не может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превышать </w:t>
      </w:r>
      <w:proofErr w:type="gramStart"/>
      <w:r>
        <w:rPr>
          <w:color w:val="333333"/>
          <w:sz w:val="22"/>
          <w:szCs w:val="22"/>
        </w:rPr>
        <w:t>установленных</w:t>
      </w:r>
      <w:proofErr w:type="gramEnd"/>
      <w:r>
        <w:rPr>
          <w:color w:val="333333"/>
          <w:sz w:val="22"/>
          <w:szCs w:val="22"/>
        </w:rPr>
        <w:t xml:space="preserve"> по должностям профессорско-преподавательского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состава верхних пределов.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     При этом следует иметь в виду, что в соответствии с подпунктами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7.1.2 и 7.1.3 приложения 2 к приказу N 1601 в организациях,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осуществляющих образовательную деятельность по образовательным программам</w:t>
      </w:r>
      <w:r w:rsidR="005C23E2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высшего образов</w:t>
      </w:r>
      <w:r w:rsidR="005C23E2">
        <w:rPr>
          <w:color w:val="333333"/>
          <w:sz w:val="22"/>
          <w:szCs w:val="22"/>
        </w:rPr>
        <w:t xml:space="preserve">ания, а также по дополнительным </w:t>
      </w:r>
      <w:r>
        <w:rPr>
          <w:color w:val="333333"/>
          <w:sz w:val="22"/>
          <w:szCs w:val="22"/>
        </w:rPr>
        <w:t>профессиональным</w:t>
      </w:r>
      <w:r w:rsidR="005C23E2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программам, верхний предел учебной нагрузки, определяемый по должностям</w:t>
      </w:r>
      <w:r w:rsidR="005C23E2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профессорско-преподавательского состава в порядке, предусмотренном</w:t>
      </w:r>
      <w:r w:rsidR="005C23E2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пунктом 6.1 указанного приказа, устанавливается в объеме, не превышающем</w:t>
      </w:r>
      <w:r w:rsidR="005C23E2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соответственно 900 или 800 часов в учебном году.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     Учебная нагрузка педагогических работников, замещающих должности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профессорско-преподавательского состава, включает в себя контактную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proofErr w:type="gramStart"/>
      <w:r>
        <w:rPr>
          <w:color w:val="333333"/>
          <w:sz w:val="22"/>
          <w:szCs w:val="22"/>
        </w:rPr>
        <w:t>работу обучающихся с преподавателем в видах учебной деятельности,</w:t>
      </w:r>
      <w:proofErr w:type="gramEnd"/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установленных в зависимости от образовательных программ </w:t>
      </w:r>
      <w:proofErr w:type="gramStart"/>
      <w:r>
        <w:rPr>
          <w:color w:val="333333"/>
          <w:sz w:val="22"/>
          <w:szCs w:val="22"/>
        </w:rPr>
        <w:t>высшего</w:t>
      </w:r>
      <w:proofErr w:type="gramEnd"/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proofErr w:type="gramStart"/>
      <w:r>
        <w:rPr>
          <w:color w:val="333333"/>
          <w:sz w:val="22"/>
          <w:szCs w:val="22"/>
        </w:rPr>
        <w:t xml:space="preserve">образования (программ </w:t>
      </w:r>
      <w:proofErr w:type="spellStart"/>
      <w:r>
        <w:rPr>
          <w:color w:val="333333"/>
          <w:sz w:val="22"/>
          <w:szCs w:val="22"/>
        </w:rPr>
        <w:t>бакалавриата</w:t>
      </w:r>
      <w:proofErr w:type="spellEnd"/>
      <w:r>
        <w:rPr>
          <w:color w:val="333333"/>
          <w:sz w:val="22"/>
          <w:szCs w:val="22"/>
        </w:rPr>
        <w:t xml:space="preserve">, </w:t>
      </w:r>
      <w:proofErr w:type="spellStart"/>
      <w:r>
        <w:rPr>
          <w:color w:val="333333"/>
          <w:sz w:val="22"/>
          <w:szCs w:val="22"/>
        </w:rPr>
        <w:t>специалитета</w:t>
      </w:r>
      <w:proofErr w:type="spellEnd"/>
      <w:r>
        <w:rPr>
          <w:color w:val="333333"/>
          <w:sz w:val="22"/>
          <w:szCs w:val="22"/>
        </w:rPr>
        <w:t>, магистратуры,</w:t>
      </w:r>
      <w:proofErr w:type="gramEnd"/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ординатуры, программ подготовки научно-педагогических кадров </w:t>
      </w:r>
      <w:proofErr w:type="gramStart"/>
      <w:r>
        <w:rPr>
          <w:color w:val="333333"/>
          <w:sz w:val="22"/>
          <w:szCs w:val="22"/>
        </w:rPr>
        <w:t>в</w:t>
      </w:r>
      <w:proofErr w:type="gramEnd"/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аспирантуре (адъюнктуре), по дополнительным профессиональным программам)</w:t>
      </w:r>
      <w:proofErr w:type="gramStart"/>
      <w:r>
        <w:rPr>
          <w:color w:val="333333"/>
          <w:sz w:val="22"/>
          <w:szCs w:val="22"/>
        </w:rPr>
        <w:t>,у</w:t>
      </w:r>
      <w:proofErr w:type="gramEnd"/>
      <w:r>
        <w:rPr>
          <w:color w:val="333333"/>
          <w:sz w:val="22"/>
          <w:szCs w:val="22"/>
        </w:rPr>
        <w:t>твержденных соответствующими приказами Министерства образования и науки</w:t>
      </w:r>
      <w:r w:rsidR="005C23E2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Российской Федерации, поименованными в пункте 6.3 приложения 2 к приказу</w:t>
      </w:r>
      <w:r w:rsidR="005C23E2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N 1601. За единицу времени принимается академический или астрономический</w:t>
      </w:r>
      <w:r w:rsidR="005C23E2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час согласно установленной величине зачетной единицы, используемой при</w:t>
      </w:r>
      <w:r w:rsidR="005C23E2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реализации соответствующих образовательных программ.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     При применении пункта 6.3 приложения 2 к приказу N 1601, </w:t>
      </w:r>
      <w:proofErr w:type="gramStart"/>
      <w:r>
        <w:rPr>
          <w:color w:val="333333"/>
          <w:sz w:val="22"/>
          <w:szCs w:val="22"/>
        </w:rPr>
        <w:t>в</w:t>
      </w:r>
      <w:proofErr w:type="gramEnd"/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proofErr w:type="gramStart"/>
      <w:r>
        <w:rPr>
          <w:color w:val="333333"/>
          <w:sz w:val="22"/>
          <w:szCs w:val="22"/>
        </w:rPr>
        <w:t>соответствии</w:t>
      </w:r>
      <w:proofErr w:type="gramEnd"/>
      <w:r>
        <w:rPr>
          <w:color w:val="333333"/>
          <w:sz w:val="22"/>
          <w:szCs w:val="22"/>
        </w:rPr>
        <w:t xml:space="preserve"> с которым формируется учебная нагрузка педагогических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работников, отнесенных к профессорско-преподавательскому составу,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контактная работа обучающихся с преподавателем в видах </w:t>
      </w:r>
      <w:proofErr w:type="gramStart"/>
      <w:r>
        <w:rPr>
          <w:color w:val="333333"/>
          <w:sz w:val="22"/>
          <w:szCs w:val="22"/>
        </w:rPr>
        <w:t>учебной</w:t>
      </w:r>
      <w:proofErr w:type="gramEnd"/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деятельности с 1 сентября 2017 г. определяется в соответствии с пунктом</w:t>
      </w:r>
      <w:r w:rsidR="005C23E2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31 Порядка организации и осуществления образовательной деятельности по</w:t>
      </w:r>
      <w:r w:rsidR="005C23E2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 xml:space="preserve">образовательным программам высшего образования - программам </w:t>
      </w:r>
      <w:proofErr w:type="spellStart"/>
      <w:r>
        <w:rPr>
          <w:color w:val="333333"/>
          <w:sz w:val="22"/>
          <w:szCs w:val="22"/>
        </w:rPr>
        <w:t>бакалавриата</w:t>
      </w:r>
      <w:proofErr w:type="spellEnd"/>
      <w:r>
        <w:rPr>
          <w:color w:val="333333"/>
          <w:sz w:val="22"/>
          <w:szCs w:val="22"/>
        </w:rPr>
        <w:t>,</w:t>
      </w:r>
      <w:r w:rsidR="005C23E2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 xml:space="preserve">программам </w:t>
      </w:r>
      <w:proofErr w:type="spellStart"/>
      <w:r>
        <w:rPr>
          <w:color w:val="333333"/>
          <w:sz w:val="22"/>
          <w:szCs w:val="22"/>
        </w:rPr>
        <w:t>специалитета</w:t>
      </w:r>
      <w:proofErr w:type="spellEnd"/>
      <w:r>
        <w:rPr>
          <w:color w:val="333333"/>
          <w:sz w:val="22"/>
          <w:szCs w:val="22"/>
        </w:rPr>
        <w:t>, программам магистратуры, утвержденного приказом</w:t>
      </w:r>
      <w:r w:rsidR="005C23E2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Министерства образования и науки Российской Федерации от 5 апреля 2017 г.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N 301 "Об утверждении Порядка организации и осуществления образовательной</w:t>
      </w:r>
      <w:r w:rsidR="005C23E2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 xml:space="preserve">деятельности по образовательным программам высшего образования </w:t>
      </w:r>
      <w:proofErr w:type="gramStart"/>
      <w:r>
        <w:rPr>
          <w:color w:val="333333"/>
          <w:sz w:val="22"/>
          <w:szCs w:val="22"/>
        </w:rPr>
        <w:t>-п</w:t>
      </w:r>
      <w:proofErr w:type="gramEnd"/>
      <w:r>
        <w:rPr>
          <w:color w:val="333333"/>
          <w:sz w:val="22"/>
          <w:szCs w:val="22"/>
        </w:rPr>
        <w:t xml:space="preserve">рограммам </w:t>
      </w:r>
      <w:proofErr w:type="spellStart"/>
      <w:r>
        <w:rPr>
          <w:color w:val="333333"/>
          <w:sz w:val="22"/>
          <w:szCs w:val="22"/>
        </w:rPr>
        <w:t>бакалавриата</w:t>
      </w:r>
      <w:proofErr w:type="spellEnd"/>
      <w:r>
        <w:rPr>
          <w:color w:val="333333"/>
          <w:sz w:val="22"/>
          <w:szCs w:val="22"/>
        </w:rPr>
        <w:t xml:space="preserve">, программам </w:t>
      </w:r>
      <w:proofErr w:type="spellStart"/>
      <w:r>
        <w:rPr>
          <w:color w:val="333333"/>
          <w:sz w:val="22"/>
          <w:szCs w:val="22"/>
        </w:rPr>
        <w:t>специалитета</w:t>
      </w:r>
      <w:proofErr w:type="spellEnd"/>
      <w:r>
        <w:rPr>
          <w:color w:val="333333"/>
          <w:sz w:val="22"/>
          <w:szCs w:val="22"/>
        </w:rPr>
        <w:t>, программам</w:t>
      </w:r>
      <w:r w:rsidR="005C23E2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магистратуры".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     Нормы времени по видам учебной деятельности, включаемым в </w:t>
      </w:r>
      <w:proofErr w:type="gramStart"/>
      <w:r>
        <w:rPr>
          <w:color w:val="333333"/>
          <w:sz w:val="22"/>
          <w:szCs w:val="22"/>
        </w:rPr>
        <w:t>учебную</w:t>
      </w:r>
      <w:proofErr w:type="gramEnd"/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нагрузку профессорско-преподавательского состава, самостоятельно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определяются организацией и утверждаются ее локальным нормативным актом.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 xml:space="preserve">     При определении по должностям </w:t>
      </w:r>
      <w:proofErr w:type="gramStart"/>
      <w:r>
        <w:rPr>
          <w:color w:val="333333"/>
          <w:sz w:val="22"/>
          <w:szCs w:val="22"/>
        </w:rPr>
        <w:t>профессорско-преподавательского</w:t>
      </w:r>
      <w:proofErr w:type="gramEnd"/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состава соотношения учебной нагрузки и другой деятельности,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lastRenderedPageBreak/>
        <w:t>предусмотренной должностными обязанностями и (или) индивидуальным плано</w:t>
      </w:r>
      <w:proofErr w:type="gramStart"/>
      <w:r>
        <w:rPr>
          <w:color w:val="333333"/>
          <w:sz w:val="22"/>
          <w:szCs w:val="22"/>
        </w:rPr>
        <w:t>м(</w:t>
      </w:r>
      <w:proofErr w:type="gramEnd"/>
      <w:r>
        <w:rPr>
          <w:color w:val="333333"/>
          <w:sz w:val="22"/>
          <w:szCs w:val="22"/>
        </w:rPr>
        <w:t>научной, творческой, исследовательской, методической, подготовительной,</w:t>
      </w:r>
      <w:r w:rsidR="007844C0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организационной, диагностической, лечебной, экспертной, иной, в том числе</w:t>
      </w:r>
      <w:r w:rsidR="007844C0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связанной с повышением своего профессионального уровня), в пределах</w:t>
      </w:r>
      <w:r w:rsidR="007844C0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продолжительности рабочего времени, составляющей 36 часов в неделю,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учитываются</w:t>
      </w:r>
      <w:r w:rsidR="007844C0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занимаемая педагогическим работником должность;</w:t>
      </w:r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proofErr w:type="gramStart"/>
      <w:r>
        <w:rPr>
          <w:color w:val="333333"/>
          <w:sz w:val="22"/>
          <w:szCs w:val="22"/>
        </w:rPr>
        <w:t>нормы времени по видам учебной деятельности, утвержденные локальным</w:t>
      </w:r>
      <w:proofErr w:type="gramEnd"/>
    </w:p>
    <w:p w:rsidR="003B5B81" w:rsidRDefault="003B5B81" w:rsidP="003B5B81">
      <w:pPr>
        <w:pStyle w:val="HTML"/>
        <w:shd w:val="clear" w:color="auto" w:fill="FFFFFF"/>
        <w:rPr>
          <w:color w:val="333333"/>
          <w:sz w:val="22"/>
          <w:szCs w:val="22"/>
        </w:rPr>
      </w:pPr>
      <w:r>
        <w:rPr>
          <w:color w:val="333333"/>
          <w:sz w:val="22"/>
          <w:szCs w:val="22"/>
        </w:rPr>
        <w:t>нормативным актом организации;</w:t>
      </w:r>
      <w:r w:rsidR="007844C0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положения раздела VII приложения к приказу N 536, регулирующие режи</w:t>
      </w:r>
      <w:r w:rsidR="007844C0">
        <w:rPr>
          <w:color w:val="333333"/>
          <w:sz w:val="22"/>
          <w:szCs w:val="22"/>
        </w:rPr>
        <w:t xml:space="preserve">м </w:t>
      </w:r>
      <w:r>
        <w:rPr>
          <w:color w:val="333333"/>
          <w:sz w:val="22"/>
          <w:szCs w:val="22"/>
        </w:rPr>
        <w:t>рабочего времени педагогических работников, отнесенных к</w:t>
      </w:r>
      <w:r w:rsidR="007844C0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профессорско-преподавательскому составу организаций, реализующих</w:t>
      </w:r>
      <w:r w:rsidR="007844C0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образовательные программы высшего образования и дополнительные</w:t>
      </w:r>
      <w:r w:rsidR="007844C0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профессиональные программы.</w:t>
      </w:r>
    </w:p>
    <w:p w:rsidR="003B5B81" w:rsidRDefault="003B5B81"/>
    <w:sectPr w:rsidR="003B5B81" w:rsidSect="00527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3B5B81"/>
    <w:rsid w:val="003B5B81"/>
    <w:rsid w:val="00527CBA"/>
    <w:rsid w:val="005C23E2"/>
    <w:rsid w:val="00784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CBA"/>
  </w:style>
  <w:style w:type="paragraph" w:styleId="1">
    <w:name w:val="heading 1"/>
    <w:basedOn w:val="a"/>
    <w:link w:val="10"/>
    <w:uiPriority w:val="9"/>
    <w:qFormat/>
    <w:rsid w:val="003B5B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3B5B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B5B8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B5B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3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2704</Words>
  <Characters>15418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2020-01-27T06:29:00Z</dcterms:created>
  <dcterms:modified xsi:type="dcterms:W3CDTF">2020-01-27T06:51:00Z</dcterms:modified>
</cp:coreProperties>
</file>