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4A0"/>
      </w:tblPr>
      <w:tblGrid>
        <w:gridCol w:w="4589"/>
        <w:gridCol w:w="1164"/>
        <w:gridCol w:w="3742"/>
        <w:gridCol w:w="819"/>
      </w:tblGrid>
      <w:tr w:rsidR="005F51B6" w:rsidTr="00EA7CAE">
        <w:trPr>
          <w:gridAfter w:val="1"/>
          <w:wAfter w:w="819" w:type="dxa"/>
          <w:trHeight w:hRule="exact" w:val="993"/>
        </w:trPr>
        <w:tc>
          <w:tcPr>
            <w:tcW w:w="4589" w:type="dxa"/>
            <w:hideMark/>
          </w:tcPr>
          <w:p w:rsidR="005F51B6" w:rsidRDefault="005F51B6" w:rsidP="00CA397F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  <w:vMerge w:val="restart"/>
          </w:tcPr>
          <w:p w:rsidR="005F51B6" w:rsidRDefault="005F51B6" w:rsidP="00CA397F">
            <w:pP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3742" w:type="dxa"/>
          </w:tcPr>
          <w:p w:rsidR="005F51B6" w:rsidRDefault="005F51B6" w:rsidP="00CA397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ar-SA"/>
              </w:rPr>
            </w:pPr>
          </w:p>
        </w:tc>
      </w:tr>
      <w:tr w:rsidR="005F51B6" w:rsidRPr="00CA397F" w:rsidTr="00EA7CAE">
        <w:trPr>
          <w:gridAfter w:val="1"/>
          <w:wAfter w:w="819" w:type="dxa"/>
          <w:trHeight w:hRule="exact" w:val="3190"/>
        </w:trPr>
        <w:tc>
          <w:tcPr>
            <w:tcW w:w="4589" w:type="dxa"/>
          </w:tcPr>
          <w:p w:rsidR="005F51B6" w:rsidRDefault="005F51B6" w:rsidP="00CA397F">
            <w:pPr>
              <w:spacing w:after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 xml:space="preserve">ПРОФСОЮЗ РАБОТНИКОВ </w:t>
            </w:r>
          </w:p>
          <w:p w:rsidR="005F51B6" w:rsidRDefault="005F51B6" w:rsidP="00CA397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НАРОДНОГО ОБРАЗОВАНИЯ И НАУКИ </w:t>
            </w:r>
          </w:p>
          <w:p w:rsidR="005F51B6" w:rsidRDefault="005F51B6" w:rsidP="00CA397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РОССИЙСКОЙ ФЕДЕРАЦИИ</w:t>
            </w:r>
          </w:p>
          <w:p w:rsidR="005F51B6" w:rsidRDefault="005F51B6" w:rsidP="00CA397F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5F51B6" w:rsidRDefault="005F51B6" w:rsidP="00CA397F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Cs w:val="20"/>
              </w:rPr>
              <w:t xml:space="preserve">БУРЯТСКАЯ </w:t>
            </w:r>
            <w:proofErr w:type="gramEnd"/>
          </w:p>
          <w:p w:rsidR="005F51B6" w:rsidRDefault="005F51B6" w:rsidP="00CA397F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Cs w:val="20"/>
              </w:rPr>
              <w:t>РЕСПУБЛИКАНСКАЯ ОРГАНИЗАЦИЯ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>РЕСПУБЛИКАНСКИЙ КОМИТЕТ ПРОФСОЮЗА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670001, г. Улан-Удэ,  ул. Коммунистическая, д.49                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тел. (8-3012) </w:t>
            </w:r>
            <w:r>
              <w:rPr>
                <w:rFonts w:ascii="Times New Roman" w:hAnsi="Times New Roman"/>
              </w:rPr>
              <w:t>21-15-82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;  факс (8-3012) </w:t>
            </w:r>
            <w:r>
              <w:rPr>
                <w:rFonts w:ascii="Times New Roman" w:hAnsi="Times New Roman"/>
              </w:rPr>
              <w:t>21-15-82</w:t>
            </w:r>
          </w:p>
          <w:p w:rsidR="005F51B6" w:rsidRPr="006135B6" w:rsidRDefault="005F51B6" w:rsidP="00CA397F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Pr="006135B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Pr="006135B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6135B6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03@</w:t>
              </w:r>
              <w:r w:rsidRPr="002D74D6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broprof</w:t>
              </w:r>
              <w:r w:rsidRPr="006135B6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 w:rsidRPr="002D74D6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bCs/>
                <w:sz w:val="18"/>
                <w:szCs w:val="18"/>
              </w:rPr>
              <w:t>Сайт</w:t>
            </w:r>
            <w:r w:rsidRPr="006135B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: </w:t>
            </w:r>
            <w:hyperlink r:id="rId8" w:history="1">
              <w:r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Pr="006135B6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broprof</w:t>
              </w:r>
              <w:r w:rsidRPr="006135B6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</w:hyperlink>
          </w:p>
          <w:p w:rsidR="005F51B6" w:rsidRPr="006135B6" w:rsidRDefault="005F51B6" w:rsidP="00CA397F">
            <w:pPr>
              <w:suppressAutoHyphens/>
              <w:jc w:val="center"/>
              <w:rPr>
                <w:rFonts w:ascii="Times New Roman" w:eastAsia="Calibri" w:hAnsi="Times New Roman" w:cs="Calibri"/>
                <w:lang w:val="en-US" w:eastAsia="ar-SA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:rsidR="005F51B6" w:rsidRPr="006135B6" w:rsidRDefault="005F51B6" w:rsidP="00CA397F">
            <w:pPr>
              <w:spacing w:after="0" w:line="240" w:lineRule="auto"/>
              <w:rPr>
                <w:rFonts w:ascii="Calibri" w:eastAsia="Calibri" w:hAnsi="Calibri" w:cs="Calibri"/>
                <w:lang w:val="en-US" w:eastAsia="ar-SA"/>
              </w:rPr>
            </w:pPr>
          </w:p>
        </w:tc>
        <w:tc>
          <w:tcPr>
            <w:tcW w:w="3742" w:type="dxa"/>
            <w:vMerge w:val="restart"/>
          </w:tcPr>
          <w:p w:rsidR="005F51B6" w:rsidRPr="006135B6" w:rsidRDefault="005F51B6" w:rsidP="00CA397F">
            <w:pPr>
              <w:suppressAutoHyphens/>
              <w:snapToGrid w:val="0"/>
              <w:spacing w:after="0"/>
              <w:rPr>
                <w:rFonts w:ascii="Times New Roman" w:eastAsia="Calibri" w:hAnsi="Times New Roman" w:cs="Calibri"/>
                <w:sz w:val="28"/>
                <w:szCs w:val="28"/>
                <w:lang w:val="en-US" w:eastAsia="ar-SA"/>
              </w:rPr>
            </w:pPr>
          </w:p>
          <w:p w:rsidR="001D42C1" w:rsidRPr="006135B6" w:rsidRDefault="001D42C1" w:rsidP="00CA397F">
            <w:pPr>
              <w:suppressAutoHyphens/>
              <w:snapToGrid w:val="0"/>
              <w:spacing w:after="0"/>
              <w:rPr>
                <w:rFonts w:ascii="Times New Roman" w:eastAsia="Calibri" w:hAnsi="Times New Roman" w:cs="Calibri"/>
                <w:sz w:val="28"/>
                <w:szCs w:val="28"/>
                <w:lang w:val="en-US" w:eastAsia="ar-SA"/>
              </w:rPr>
            </w:pPr>
          </w:p>
          <w:p w:rsidR="001D42C1" w:rsidRPr="006135B6" w:rsidRDefault="001D42C1" w:rsidP="00CA397F">
            <w:pPr>
              <w:suppressAutoHyphens/>
              <w:snapToGrid w:val="0"/>
              <w:spacing w:after="0"/>
              <w:rPr>
                <w:rFonts w:ascii="Times New Roman" w:eastAsia="Calibri" w:hAnsi="Times New Roman" w:cs="Calibri"/>
                <w:sz w:val="28"/>
                <w:szCs w:val="28"/>
                <w:lang w:val="en-US" w:eastAsia="ar-SA"/>
              </w:rPr>
            </w:pPr>
          </w:p>
          <w:p w:rsidR="001D42C1" w:rsidRPr="006135B6" w:rsidRDefault="001D42C1" w:rsidP="00CA397F">
            <w:pPr>
              <w:suppressAutoHyphens/>
              <w:snapToGrid w:val="0"/>
              <w:spacing w:after="0"/>
              <w:rPr>
                <w:rFonts w:ascii="Times New Roman" w:eastAsia="Calibri" w:hAnsi="Times New Roman" w:cs="Calibri"/>
                <w:sz w:val="28"/>
                <w:szCs w:val="28"/>
                <w:lang w:val="en-US" w:eastAsia="ar-SA"/>
              </w:rPr>
            </w:pPr>
          </w:p>
          <w:p w:rsidR="001D42C1" w:rsidRPr="006135B6" w:rsidRDefault="001D42C1" w:rsidP="00CA397F">
            <w:pPr>
              <w:suppressAutoHyphens/>
              <w:snapToGrid w:val="0"/>
              <w:spacing w:after="0"/>
              <w:rPr>
                <w:rFonts w:ascii="Times New Roman" w:eastAsia="Calibri" w:hAnsi="Times New Roman" w:cs="Calibri"/>
                <w:sz w:val="28"/>
                <w:szCs w:val="28"/>
                <w:lang w:val="en-US" w:eastAsia="ar-SA"/>
              </w:rPr>
            </w:pPr>
          </w:p>
          <w:p w:rsidR="00CC656E" w:rsidRDefault="001D42C1" w:rsidP="00CC656E">
            <w:pPr>
              <w:suppressAutoHyphens/>
              <w:snapToGrid w:val="0"/>
              <w:spacing w:after="0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Председател</w:t>
            </w:r>
            <w:r w:rsidR="00CC656E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ю </w:t>
            </w:r>
            <w:r w:rsidR="004B34AF" w:rsidRPr="00923021">
              <w:rPr>
                <w:rFonts w:ascii="Times New Roman" w:eastAsia="Calibri" w:hAnsi="Times New Roman" w:cs="Calibri"/>
                <w:noProof/>
                <w:sz w:val="28"/>
                <w:szCs w:val="28"/>
                <w:lang w:eastAsia="ar-SA"/>
              </w:rPr>
              <w:t>Селенгинской районной организации</w:t>
            </w:r>
            <w:r w:rsidR="00CC656E"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Профсоюза</w:t>
            </w:r>
          </w:p>
          <w:p w:rsidR="00CC656E" w:rsidRDefault="00CC656E" w:rsidP="00CC656E">
            <w:pPr>
              <w:suppressAutoHyphens/>
              <w:snapToGrid w:val="0"/>
              <w:spacing w:after="0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  <w:p w:rsidR="001D42C1" w:rsidRPr="00CA5225" w:rsidRDefault="004B34AF" w:rsidP="00CC656E">
            <w:pPr>
              <w:suppressAutoHyphens/>
              <w:snapToGrid w:val="0"/>
              <w:spacing w:after="0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 w:rsidRPr="00923021">
              <w:rPr>
                <w:rFonts w:ascii="Times New Roman" w:eastAsia="Calibri" w:hAnsi="Times New Roman" w:cs="Calibri"/>
                <w:noProof/>
                <w:sz w:val="28"/>
                <w:szCs w:val="28"/>
                <w:lang w:eastAsia="ar-SA"/>
              </w:rPr>
              <w:t>В.С. Файбусович</w:t>
            </w:r>
          </w:p>
        </w:tc>
      </w:tr>
      <w:tr w:rsidR="005F51B6" w:rsidTr="00EA7CAE">
        <w:trPr>
          <w:gridAfter w:val="1"/>
          <w:wAfter w:w="819" w:type="dxa"/>
          <w:trHeight w:val="699"/>
        </w:trPr>
        <w:tc>
          <w:tcPr>
            <w:tcW w:w="4589" w:type="dxa"/>
            <w:hideMark/>
          </w:tcPr>
          <w:p w:rsidR="005F51B6" w:rsidRPr="00C47414" w:rsidRDefault="00CC656E" w:rsidP="00CA397F">
            <w:pPr>
              <w:suppressAutoHyphens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</w:t>
            </w:r>
            <w:r w:rsidR="00A9560C">
              <w:rPr>
                <w:rFonts w:ascii="Times New Roman" w:hAnsi="Times New Roman"/>
                <w:szCs w:val="20"/>
              </w:rPr>
              <w:t>.0</w:t>
            </w:r>
            <w:r>
              <w:rPr>
                <w:rFonts w:ascii="Times New Roman" w:hAnsi="Times New Roman"/>
                <w:szCs w:val="20"/>
              </w:rPr>
              <w:t>9</w:t>
            </w:r>
            <w:r w:rsidR="00A9560C">
              <w:rPr>
                <w:rFonts w:ascii="Times New Roman" w:hAnsi="Times New Roman"/>
                <w:szCs w:val="20"/>
              </w:rPr>
              <w:t>.</w:t>
            </w:r>
            <w:r w:rsidR="005F51B6" w:rsidRPr="00C47414">
              <w:rPr>
                <w:rFonts w:ascii="Times New Roman" w:hAnsi="Times New Roman"/>
                <w:szCs w:val="20"/>
              </w:rPr>
              <w:t xml:space="preserve"> 2016 г.   №</w:t>
            </w:r>
            <w:r>
              <w:rPr>
                <w:rFonts w:ascii="Times New Roman" w:hAnsi="Times New Roman"/>
                <w:szCs w:val="20"/>
              </w:rPr>
              <w:t xml:space="preserve"> 176</w:t>
            </w:r>
          </w:p>
          <w:p w:rsidR="005F51B6" w:rsidRDefault="005F51B6" w:rsidP="00CA397F">
            <w:pPr>
              <w:suppressAutoHyphens/>
              <w:rPr>
                <w:rFonts w:ascii="Times New Roman" w:eastAsia="Calibri" w:hAnsi="Times New Roman" w:cs="Calibri"/>
                <w:szCs w:val="20"/>
                <w:lang w:eastAsia="ar-SA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На № _____________ от__________________</w:t>
            </w:r>
            <w:r>
              <w:rPr>
                <w:rFonts w:ascii="Times New Roman" w:hAnsi="Times New Roman"/>
              </w:rPr>
              <w:br/>
            </w:r>
            <w:proofErr w:type="gramEnd"/>
          </w:p>
        </w:tc>
        <w:tc>
          <w:tcPr>
            <w:tcW w:w="1164" w:type="dxa"/>
            <w:vMerge/>
            <w:vAlign w:val="center"/>
            <w:hideMark/>
          </w:tcPr>
          <w:p w:rsidR="005F51B6" w:rsidRDefault="005F51B6" w:rsidP="00CA397F">
            <w:pPr>
              <w:spacing w:after="0" w:line="240" w:lineRule="auto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3742" w:type="dxa"/>
            <w:vMerge/>
            <w:vAlign w:val="center"/>
            <w:hideMark/>
          </w:tcPr>
          <w:p w:rsidR="005F51B6" w:rsidRDefault="005F51B6" w:rsidP="00CA397F">
            <w:pP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</w:tr>
      <w:tr w:rsidR="005F51B6" w:rsidRPr="004850B4" w:rsidTr="00EA7CAE">
        <w:trPr>
          <w:gridAfter w:val="1"/>
          <w:wAfter w:w="819" w:type="dxa"/>
          <w:trHeight w:val="755"/>
        </w:trPr>
        <w:tc>
          <w:tcPr>
            <w:tcW w:w="4589" w:type="dxa"/>
          </w:tcPr>
          <w:p w:rsidR="005F51B6" w:rsidRPr="00144D3F" w:rsidRDefault="005F51B6" w:rsidP="00CA397F">
            <w:pPr>
              <w:ind w:left="75"/>
              <w:rPr>
                <w:rFonts w:ascii="Times New Roman" w:hAnsi="Times New Roman" w:cs="Times New Roman"/>
                <w:i/>
              </w:rPr>
            </w:pPr>
            <w:r w:rsidRPr="00144D3F">
              <w:rPr>
                <w:rFonts w:ascii="Times New Roman" w:hAnsi="Times New Roman" w:cs="Times New Roman"/>
                <w:i/>
              </w:rPr>
              <w:t xml:space="preserve">О </w:t>
            </w:r>
            <w:r w:rsidR="00CA397F" w:rsidRPr="00144D3F">
              <w:rPr>
                <w:rFonts w:ascii="Times New Roman" w:hAnsi="Times New Roman" w:cs="Times New Roman"/>
                <w:i/>
              </w:rPr>
              <w:t>республиканских к</w:t>
            </w:r>
            <w:r w:rsidRPr="00144D3F">
              <w:rPr>
                <w:rFonts w:ascii="Times New Roman" w:hAnsi="Times New Roman" w:cs="Times New Roman"/>
                <w:i/>
              </w:rPr>
              <w:t>онкурсах «Лучший коллективный договор»</w:t>
            </w:r>
            <w:proofErr w:type="gramStart"/>
            <w:r w:rsidRPr="00144D3F">
              <w:rPr>
                <w:rFonts w:ascii="Times New Roman" w:hAnsi="Times New Roman" w:cs="Times New Roman"/>
                <w:i/>
              </w:rPr>
              <w:t>,</w:t>
            </w:r>
            <w:r w:rsidRPr="00144D3F">
              <w:rPr>
                <w:rFonts w:ascii="Times New Roman" w:hAnsi="Times New Roman"/>
                <w:i/>
              </w:rPr>
              <w:t>«</w:t>
            </w:r>
            <w:proofErr w:type="gramEnd"/>
            <w:r w:rsidRPr="00144D3F">
              <w:rPr>
                <w:rFonts w:ascii="Times New Roman" w:hAnsi="Times New Roman"/>
                <w:i/>
              </w:rPr>
              <w:t>Мы выбираем Профсоюз!»</w:t>
            </w:r>
          </w:p>
          <w:p w:rsidR="005F51B6" w:rsidRPr="00EB1DC7" w:rsidRDefault="005F51B6" w:rsidP="005F51B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4" w:type="dxa"/>
            <w:vMerge/>
            <w:vAlign w:val="center"/>
          </w:tcPr>
          <w:p w:rsidR="005F51B6" w:rsidRPr="004850B4" w:rsidRDefault="005F51B6" w:rsidP="00CA397F">
            <w:pPr>
              <w:spacing w:after="0" w:line="240" w:lineRule="auto"/>
              <w:rPr>
                <w:rFonts w:ascii="Calibri" w:eastAsia="Calibri" w:hAnsi="Calibri" w:cs="Calibri"/>
                <w:i/>
                <w:lang w:eastAsia="ar-SA"/>
              </w:rPr>
            </w:pPr>
          </w:p>
        </w:tc>
        <w:tc>
          <w:tcPr>
            <w:tcW w:w="3742" w:type="dxa"/>
            <w:vMerge/>
            <w:vAlign w:val="center"/>
          </w:tcPr>
          <w:p w:rsidR="005F51B6" w:rsidRPr="004850B4" w:rsidRDefault="005F51B6" w:rsidP="00CA397F">
            <w:pPr>
              <w:spacing w:after="0" w:line="240" w:lineRule="auto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</w:p>
        </w:tc>
      </w:tr>
      <w:tr w:rsidR="005F51B6" w:rsidRPr="00DB3A7E" w:rsidTr="00EA7CAE">
        <w:trPr>
          <w:trHeight w:val="1887"/>
        </w:trPr>
        <w:tc>
          <w:tcPr>
            <w:tcW w:w="10314" w:type="dxa"/>
            <w:gridSpan w:val="4"/>
          </w:tcPr>
          <w:p w:rsidR="00CC656E" w:rsidRDefault="004B34AF" w:rsidP="00144D3F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2302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УважаемаяВалентинаСавельевна</w:t>
            </w:r>
            <w:r w:rsidR="00CC656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!</w:t>
            </w:r>
          </w:p>
          <w:p w:rsidR="00CC656E" w:rsidRPr="00144D3F" w:rsidRDefault="00CC656E" w:rsidP="00144D3F">
            <w:pPr>
              <w:spacing w:after="0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:rsidR="005F51B6" w:rsidRPr="00144D3F" w:rsidRDefault="00CA397F" w:rsidP="00CA397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Напоминаем, что в соответствии с планом основных мероприятий республиканской организации Профсоюза на 2016 г., </w:t>
            </w:r>
            <w:r w:rsidR="005F51B6" w:rsidRPr="00144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постановлением Президиума </w:t>
            </w:r>
            <w:proofErr w:type="spellStart"/>
            <w:r w:rsidR="005F51B6" w:rsidRPr="00144D3F">
              <w:rPr>
                <w:rFonts w:ascii="Times New Roman" w:hAnsi="Times New Roman" w:cs="Times New Roman"/>
                <w:bCs/>
                <w:sz w:val="24"/>
                <w:szCs w:val="24"/>
              </w:rPr>
              <w:t>БРО</w:t>
            </w:r>
            <w:proofErr w:type="spellEnd"/>
            <w:r w:rsidR="005F51B6" w:rsidRPr="00144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Профсоюза от 2 марта 2016 года № 8-4 </w:t>
            </w:r>
            <w:r w:rsidR="005F51B6" w:rsidRPr="00144D3F">
              <w:rPr>
                <w:rFonts w:ascii="Times New Roman" w:hAnsi="Times New Roman"/>
                <w:sz w:val="24"/>
                <w:szCs w:val="24"/>
              </w:rPr>
              <w:t xml:space="preserve">проводятся </w:t>
            </w:r>
            <w:r w:rsidRPr="00144D3F">
              <w:rPr>
                <w:rFonts w:ascii="Times New Roman" w:hAnsi="Times New Roman"/>
                <w:sz w:val="24"/>
                <w:szCs w:val="24"/>
              </w:rPr>
              <w:t xml:space="preserve">республиканские </w:t>
            </w:r>
            <w:r w:rsidR="005F51B6" w:rsidRPr="00144D3F">
              <w:rPr>
                <w:rFonts w:ascii="Times New Roman" w:hAnsi="Times New Roman"/>
                <w:sz w:val="24"/>
                <w:szCs w:val="24"/>
              </w:rPr>
              <w:t xml:space="preserve">конкурсы </w:t>
            </w:r>
            <w:r w:rsidR="005F51B6" w:rsidRPr="00144D3F">
              <w:rPr>
                <w:rFonts w:ascii="Times New Roman" w:hAnsi="Times New Roman" w:cs="Times New Roman"/>
                <w:sz w:val="24"/>
                <w:szCs w:val="24"/>
              </w:rPr>
              <w:t>«Лучший коллективный договор»,</w:t>
            </w:r>
            <w:r w:rsidR="005F51B6" w:rsidRPr="00144D3F">
              <w:rPr>
                <w:rFonts w:ascii="Times New Roman" w:hAnsi="Times New Roman"/>
                <w:sz w:val="24"/>
                <w:szCs w:val="24"/>
              </w:rPr>
              <w:t xml:space="preserve"> «Мы выбираем Профсоюз!»</w:t>
            </w:r>
            <w:r w:rsidR="005F51B6" w:rsidRPr="00144D3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44D3F" w:rsidRPr="00144D3F" w:rsidRDefault="00CA397F" w:rsidP="00CA397F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D3F">
              <w:rPr>
                <w:rFonts w:ascii="Times New Roman" w:hAnsi="Times New Roman"/>
                <w:sz w:val="24"/>
                <w:szCs w:val="24"/>
              </w:rPr>
              <w:t>Сообщаем, что срок</w:t>
            </w:r>
            <w:r w:rsidR="00144D3F" w:rsidRPr="00144D3F">
              <w:rPr>
                <w:rFonts w:ascii="Times New Roman" w:hAnsi="Times New Roman"/>
                <w:sz w:val="24"/>
                <w:szCs w:val="24"/>
              </w:rPr>
              <w:t>и</w:t>
            </w:r>
            <w:r w:rsidR="00A9560C" w:rsidRPr="00144D3F">
              <w:rPr>
                <w:rFonts w:ascii="Times New Roman" w:hAnsi="Times New Roman"/>
                <w:sz w:val="24"/>
                <w:szCs w:val="24"/>
              </w:rPr>
              <w:t xml:space="preserve"> приема заявок для участия в </w:t>
            </w:r>
            <w:r w:rsidR="00144D3F" w:rsidRPr="00144D3F">
              <w:rPr>
                <w:rFonts w:ascii="Times New Roman" w:hAnsi="Times New Roman"/>
                <w:sz w:val="24"/>
                <w:szCs w:val="24"/>
              </w:rPr>
              <w:t>республиканских</w:t>
            </w:r>
            <w:r w:rsidR="00613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4D3F" w:rsidRPr="00144D3F">
              <w:rPr>
                <w:rFonts w:ascii="Times New Roman" w:hAnsi="Times New Roman"/>
                <w:sz w:val="24"/>
                <w:szCs w:val="24"/>
              </w:rPr>
              <w:t>конкурсах:</w:t>
            </w:r>
          </w:p>
          <w:p w:rsidR="00144D3F" w:rsidRPr="00144D3F" w:rsidRDefault="00144D3F" w:rsidP="00CA397F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D3F">
              <w:rPr>
                <w:rFonts w:ascii="Times New Roman" w:hAnsi="Times New Roman"/>
                <w:sz w:val="24"/>
                <w:szCs w:val="24"/>
              </w:rPr>
              <w:t xml:space="preserve">-  «Лучший коллективный договор» </w:t>
            </w:r>
            <w:r w:rsidRPr="00144D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 </w:t>
            </w:r>
            <w:r w:rsidR="00CC656E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  <w:r w:rsidRPr="00144D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октября 2016 г.</w:t>
            </w:r>
            <w:r w:rsidRPr="00144D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560C" w:rsidRPr="00144D3F" w:rsidRDefault="00144D3F" w:rsidP="00CA397F">
            <w:pPr>
              <w:spacing w:after="0"/>
              <w:ind w:firstLine="851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4D3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560C" w:rsidRPr="00144D3F">
              <w:rPr>
                <w:rFonts w:ascii="Times New Roman" w:hAnsi="Times New Roman"/>
                <w:sz w:val="24"/>
                <w:szCs w:val="24"/>
              </w:rPr>
              <w:t xml:space="preserve">«Мы выбираем Профсоюз!» продлен </w:t>
            </w:r>
            <w:r w:rsidRPr="00144D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 </w:t>
            </w:r>
            <w:r w:rsidR="00CC656E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  <w:r w:rsidRPr="00144D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октября 2016 г. (срок приема заявок продлен).</w:t>
            </w:r>
          </w:p>
          <w:p w:rsidR="00CA397F" w:rsidRPr="00144D3F" w:rsidRDefault="00144D3F" w:rsidP="00144D3F">
            <w:pPr>
              <w:spacing w:after="0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D3F">
              <w:rPr>
                <w:rFonts w:ascii="Times New Roman" w:hAnsi="Times New Roman"/>
                <w:sz w:val="24"/>
                <w:szCs w:val="24"/>
              </w:rPr>
              <w:t xml:space="preserve">Направляем для дополнительного ознакомления Положения о республиканских конкурсах. </w:t>
            </w:r>
            <w:r w:rsidR="00CA397F" w:rsidRPr="00144D3F">
              <w:rPr>
                <w:rFonts w:ascii="Times New Roman" w:hAnsi="Times New Roman"/>
                <w:sz w:val="24"/>
                <w:szCs w:val="24"/>
              </w:rPr>
              <w:t xml:space="preserve">Дополнительно сообщаем, что с Положениями о республиканских конкурсах можно ознакомиться на сайте </w:t>
            </w:r>
            <w:proofErr w:type="spellStart"/>
            <w:r w:rsidR="00CA397F" w:rsidRPr="00144D3F">
              <w:rPr>
                <w:rFonts w:ascii="Times New Roman" w:hAnsi="Times New Roman"/>
                <w:sz w:val="24"/>
                <w:szCs w:val="24"/>
              </w:rPr>
              <w:t>БРО</w:t>
            </w:r>
            <w:proofErr w:type="spellEnd"/>
            <w:r w:rsidR="00CA397F" w:rsidRPr="00144D3F">
              <w:rPr>
                <w:rFonts w:ascii="Times New Roman" w:hAnsi="Times New Roman"/>
                <w:sz w:val="24"/>
                <w:szCs w:val="24"/>
              </w:rPr>
              <w:t xml:space="preserve"> Профсоюза </w:t>
            </w:r>
            <w:hyperlink r:id="rId9" w:history="1">
              <w:r w:rsidR="00CA397F" w:rsidRPr="00144D3F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www</w:t>
              </w:r>
              <w:r w:rsidR="00CA397F" w:rsidRPr="00144D3F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="00CA397F" w:rsidRPr="00144D3F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broprof</w:t>
              </w:r>
              <w:proofErr w:type="spellEnd"/>
              <w:r w:rsidR="00CA397F" w:rsidRPr="00144D3F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="00CA397F" w:rsidRPr="00144D3F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A397F" w:rsidRPr="00144D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397F" w:rsidRPr="00144D3F" w:rsidRDefault="00CA397F" w:rsidP="00CA397F">
            <w:pPr>
              <w:spacing w:after="0"/>
              <w:ind w:firstLine="85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4D3F">
              <w:rPr>
                <w:rFonts w:ascii="Times New Roman" w:hAnsi="Times New Roman"/>
                <w:sz w:val="24"/>
                <w:szCs w:val="24"/>
              </w:rPr>
              <w:t xml:space="preserve">Просьба своевременно направлять заявки для участия в республиканских конкурсах на </w:t>
            </w:r>
            <w:r w:rsidRPr="00144D3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144D3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44D3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144D3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10" w:history="1">
              <w:r w:rsidRPr="00144D3F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03@</w:t>
              </w:r>
              <w:proofErr w:type="spellStart"/>
              <w:r w:rsidRPr="00144D3F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broprof</w:t>
              </w:r>
              <w:proofErr w:type="spellEnd"/>
              <w:r w:rsidRPr="00144D3F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144D3F">
                <w:rPr>
                  <w:rStyle w:val="a3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44D3F" w:rsidRPr="00144D3F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A397F" w:rsidRPr="00144D3F" w:rsidRDefault="00CA397F" w:rsidP="00CA397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Приложение: </w:t>
            </w:r>
          </w:p>
          <w:p w:rsidR="00CA397F" w:rsidRPr="00144D3F" w:rsidRDefault="00CA397F" w:rsidP="00CA397F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44D3F">
              <w:rPr>
                <w:rFonts w:ascii="Times New Roman" w:hAnsi="Times New Roman"/>
                <w:bCs/>
                <w:sz w:val="24"/>
                <w:szCs w:val="24"/>
              </w:rPr>
              <w:t>Положение о республиканском конкурсе «Лучший коллективный договор»;</w:t>
            </w:r>
          </w:p>
          <w:p w:rsidR="00CA397F" w:rsidRPr="00144D3F" w:rsidRDefault="00CC656E" w:rsidP="00CA397F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3025140</wp:posOffset>
                  </wp:positionH>
                  <wp:positionV relativeFrom="paragraph">
                    <wp:posOffset>62373</wp:posOffset>
                  </wp:positionV>
                  <wp:extent cx="1259205" cy="7270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20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44D3F" w:rsidRPr="00144D3F">
              <w:rPr>
                <w:rFonts w:ascii="Times New Roman" w:hAnsi="Times New Roman"/>
                <w:bCs/>
                <w:sz w:val="24"/>
                <w:szCs w:val="24"/>
              </w:rPr>
              <w:t xml:space="preserve">Положение </w:t>
            </w:r>
            <w:r w:rsidR="00CA5225"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r w:rsidR="00144D3F" w:rsidRPr="00144D3F">
              <w:rPr>
                <w:rFonts w:ascii="Times New Roman" w:hAnsi="Times New Roman"/>
                <w:bCs/>
                <w:sz w:val="24"/>
                <w:szCs w:val="24"/>
              </w:rPr>
              <w:t>республиканском конкурсе «Мы выбираем Профсоюз!».</w:t>
            </w:r>
          </w:p>
          <w:p w:rsidR="005F51B6" w:rsidRPr="00144D3F" w:rsidRDefault="005F51B6" w:rsidP="00CA397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51B6" w:rsidRPr="00144D3F" w:rsidRDefault="005F51B6" w:rsidP="00A9560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</w:t>
            </w:r>
            <w:proofErr w:type="spellStart"/>
            <w:r w:rsidRPr="00144D3F">
              <w:rPr>
                <w:rFonts w:ascii="Times New Roman" w:hAnsi="Times New Roman" w:cs="Times New Roman"/>
                <w:bCs/>
                <w:sz w:val="24"/>
                <w:szCs w:val="24"/>
              </w:rPr>
              <w:t>БРО</w:t>
            </w:r>
            <w:proofErr w:type="spellEnd"/>
            <w:r w:rsidRPr="00144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Профсоюза                           </w:t>
            </w:r>
            <w:r w:rsidR="00CA397F" w:rsidRPr="00144D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Л.Д. </w:t>
            </w:r>
            <w:proofErr w:type="spellStart"/>
            <w:r w:rsidR="00CA397F" w:rsidRPr="00144D3F">
              <w:rPr>
                <w:rFonts w:ascii="Times New Roman" w:hAnsi="Times New Roman" w:cs="Times New Roman"/>
                <w:bCs/>
                <w:sz w:val="24"/>
                <w:szCs w:val="24"/>
              </w:rPr>
              <w:t>Жанаева</w:t>
            </w:r>
            <w:proofErr w:type="spellEnd"/>
          </w:p>
          <w:p w:rsidR="00A9560C" w:rsidRPr="00144D3F" w:rsidRDefault="00A9560C" w:rsidP="00A9560C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C656E" w:rsidRDefault="00CC656E" w:rsidP="00A9560C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  <w:p w:rsidR="00CC656E" w:rsidRDefault="00CC656E" w:rsidP="00A9560C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  <w:p w:rsidR="00CC656E" w:rsidRDefault="00CC656E" w:rsidP="00A9560C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  <w:p w:rsidR="00CC656E" w:rsidRDefault="00CC656E" w:rsidP="00A9560C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  <w:p w:rsidR="00A9560C" w:rsidRPr="00144D3F" w:rsidRDefault="00A9560C" w:rsidP="00A9560C">
            <w:pPr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144D3F">
              <w:rPr>
                <w:rFonts w:ascii="Times New Roman" w:hAnsi="Times New Roman" w:cs="Times New Roman"/>
                <w:bCs/>
                <w:i/>
              </w:rPr>
              <w:t xml:space="preserve">Исп. Е.В. Дондукова </w:t>
            </w:r>
          </w:p>
          <w:p w:rsidR="00A9560C" w:rsidRPr="00144D3F" w:rsidRDefault="00A9560C" w:rsidP="00A9560C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144D3F">
              <w:rPr>
                <w:rFonts w:ascii="Times New Roman" w:hAnsi="Times New Roman" w:cs="Times New Roman"/>
                <w:bCs/>
                <w:i/>
              </w:rPr>
              <w:t>Тел. 8(3012)214764</w:t>
            </w:r>
          </w:p>
          <w:p w:rsidR="00A9560C" w:rsidRDefault="00A9560C" w:rsidP="00A9560C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№ </w:t>
            </w:r>
            <w:r w:rsidR="00EA7CAE">
              <w:rPr>
                <w:rFonts w:ascii="Times New Roman" w:hAnsi="Times New Roman"/>
                <w:sz w:val="24"/>
                <w:szCs w:val="24"/>
              </w:rPr>
              <w:t>1</w:t>
            </w:r>
          </w:p>
          <w:tbl>
            <w:tblPr>
              <w:tblW w:w="10421" w:type="dxa"/>
              <w:tblLayout w:type="fixed"/>
              <w:tblLook w:val="04A0"/>
            </w:tblPr>
            <w:tblGrid>
              <w:gridCol w:w="4726"/>
              <w:gridCol w:w="1043"/>
              <w:gridCol w:w="4652"/>
            </w:tblGrid>
            <w:tr w:rsidR="00A9560C" w:rsidTr="00EA7CAE">
              <w:trPr>
                <w:trHeight w:hRule="exact" w:val="964"/>
              </w:trPr>
              <w:tc>
                <w:tcPr>
                  <w:tcW w:w="4726" w:type="dxa"/>
                </w:tcPr>
                <w:p w:rsidR="00A9560C" w:rsidRDefault="00A9560C" w:rsidP="00CA397F">
                  <w:pPr>
                    <w:widowControl w:val="0"/>
                    <w:suppressAutoHyphens/>
                    <w:autoSpaceDE w:val="0"/>
                    <w:jc w:val="right"/>
                    <w:rPr>
                      <w:rFonts w:ascii="Times New Roman" w:eastAsia="Lucida Sans Unicode" w:hAnsi="Times New Roman"/>
                      <w:kern w:val="2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043" w:type="dxa"/>
                  <w:hideMark/>
                </w:tcPr>
                <w:p w:rsidR="00A9560C" w:rsidRDefault="00A9560C" w:rsidP="00CA397F">
                  <w:pPr>
                    <w:widowControl w:val="0"/>
                    <w:suppressAutoHyphens/>
                    <w:autoSpaceDE w:val="0"/>
                    <w:jc w:val="right"/>
                    <w:rPr>
                      <w:rFonts w:ascii="Times New Roman" w:eastAsia="Lucida Sans Unicode" w:hAnsi="Times New Roman"/>
                      <w:kern w:val="2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>
                        <wp:extent cx="523875" cy="582295"/>
                        <wp:effectExtent l="0" t="0" r="9525" b="8255"/>
                        <wp:docPr id="6" name="Рисунок 6" descr="Описание: Описание: Описание: 3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Описание: Описание: 3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82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2" w:type="dxa"/>
                </w:tcPr>
                <w:p w:rsidR="00A9560C" w:rsidRDefault="00A9560C" w:rsidP="00CA397F">
                  <w:pPr>
                    <w:pStyle w:val="u"/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A9560C" w:rsidTr="00EA7CAE">
              <w:trPr>
                <w:trHeight w:val="1353"/>
              </w:trPr>
              <w:tc>
                <w:tcPr>
                  <w:tcW w:w="10421" w:type="dxa"/>
                  <w:gridSpan w:val="3"/>
                </w:tcPr>
                <w:p w:rsidR="00A9560C" w:rsidRDefault="00A9560C" w:rsidP="00EA7CAE">
                  <w:pPr>
                    <w:ind w:right="-177"/>
                    <w:jc w:val="center"/>
                    <w:rPr>
                      <w:rFonts w:ascii="Times New Roman" w:eastAsia="Lucida Sans Unicode" w:hAnsi="Times New Roman"/>
                      <w:kern w:val="2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</w:rPr>
                    <w:t>ПРОФСОЮЗ РАБОТНИКОВ НАРОДНОГО ОБРАЗОВАНИЯ И НАУКИ РОССИЙСКОЙ ФЕДЕРАЦИИ</w:t>
                  </w:r>
                </w:p>
                <w:p w:rsidR="00A9560C" w:rsidRDefault="00A9560C" w:rsidP="00CA397F">
                  <w:pPr>
                    <w:jc w:val="center"/>
                    <w:rPr>
                      <w:rFonts w:ascii="Times New Roman" w:eastAsia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</w:rPr>
                    <w:t>(ОБЩЕРОССИЙСКИЙ ПРОФСОЮЗ ОБРАЗОВАНИЯ</w:t>
                  </w:r>
                  <w:r w:rsidR="00EA7CAE">
                    <w:rPr>
                      <w:rFonts w:ascii="Times New Roman" w:hAnsi="Times New Roman"/>
                    </w:rPr>
                    <w:t>)</w:t>
                  </w:r>
                </w:p>
                <w:p w:rsidR="00A9560C" w:rsidRDefault="00A9560C" w:rsidP="00CA397F">
                  <w:pPr>
                    <w:pStyle w:val="3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jc w:val="left"/>
                    <w:rPr>
                      <w:sz w:val="22"/>
                      <w:szCs w:val="22"/>
                    </w:rPr>
                  </w:pPr>
                  <w:r>
                    <w:t xml:space="preserve">                           БУРЯТСКАЯ РЕСПУБЛИКАНСКАЯ ОРГАНИЗАЦИЯ</w:t>
                  </w:r>
                </w:p>
                <w:p w:rsidR="00A9560C" w:rsidRDefault="00A9560C" w:rsidP="00CA397F">
                  <w:pPr>
                    <w:jc w:val="center"/>
                    <w:rPr>
                      <w:rFonts w:ascii="Times New Roman" w:eastAsiaTheme="minorHAnsi" w:hAnsi="Times New Roman"/>
                      <w:b/>
                      <w:bCs/>
                      <w:lang w:eastAsia="en-US"/>
                    </w:rPr>
                  </w:pPr>
                </w:p>
                <w:p w:rsidR="00A9560C" w:rsidRDefault="00A9560C" w:rsidP="00CA397F">
                  <w:pPr>
                    <w:widowControl w:val="0"/>
                    <w:suppressAutoHyphens/>
                    <w:autoSpaceDE w:val="0"/>
                    <w:jc w:val="center"/>
                    <w:rPr>
                      <w:rFonts w:ascii="Times New Roman" w:eastAsia="Lucida Sans Unicode" w:hAnsi="Times New Roman"/>
                      <w:kern w:val="2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9560C" w:rsidRDefault="00A9560C" w:rsidP="00A9560C">
            <w:pPr>
              <w:rPr>
                <w:rFonts w:ascii="Times New Roman" w:hAnsi="Times New Roman"/>
                <w:b/>
                <w:lang w:eastAsia="ar-SA"/>
              </w:rPr>
            </w:pPr>
          </w:p>
          <w:p w:rsidR="00A9560C" w:rsidRDefault="00A9560C" w:rsidP="00EA7CAE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ПОЛОЖЕНИЕ</w:t>
            </w:r>
          </w:p>
          <w:p w:rsidR="00A9560C" w:rsidRDefault="00A9560C" w:rsidP="00EA7CAE">
            <w:pPr>
              <w:shd w:val="clear" w:color="auto" w:fill="FFFFFF" w:themeFill="background1"/>
              <w:spacing w:before="75" w:after="0" w:line="345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 республиканском конкурсе «Лучший коллективный договор»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A9560C" w:rsidRDefault="00A9560C" w:rsidP="00A9560C">
            <w:pPr>
              <w:pStyle w:val="a6"/>
              <w:numPr>
                <w:ilvl w:val="0"/>
                <w:numId w:val="8"/>
              </w:numPr>
              <w:shd w:val="clear" w:color="auto" w:fill="FFFFFF" w:themeFill="background1"/>
              <w:spacing w:before="75" w:after="75" w:line="345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Общие положения.</w:t>
            </w:r>
          </w:p>
          <w:p w:rsidR="00A9560C" w:rsidRDefault="00A9560C" w:rsidP="00A9560C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1.1. Настоящее Положение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регламентирует порядок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организации, проведения и подведения итогов республиканского конкурса «Лучший коллективный договор».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1.2. Конкурс “Лучший коллективный договор” проводится Бурятской республиканской организацией Профсоюза работников народного образования и науки РФ  при участии территориальных организаций Профсоюза, первичных профсоюзных организаций и работодателей, заключивших коллективные договоры.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1.3. Целями проведения конкурса являются:</w:t>
            </w:r>
          </w:p>
          <w:p w:rsidR="00A9560C" w:rsidRDefault="00A9560C" w:rsidP="00A9560C">
            <w:pPr>
              <w:pStyle w:val="a6"/>
              <w:numPr>
                <w:ilvl w:val="0"/>
                <w:numId w:val="9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развитие системы социального партнерства;</w:t>
            </w:r>
          </w:p>
          <w:p w:rsidR="00A9560C" w:rsidRDefault="00A9560C" w:rsidP="00A9560C">
            <w:pPr>
              <w:pStyle w:val="a6"/>
              <w:numPr>
                <w:ilvl w:val="0"/>
                <w:numId w:val="9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повышение роли коллективного договора в регулировании социально-трудовых, экономических и профессиональных отношений, в осуществлении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защиты прав работников организации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A9560C" w:rsidRDefault="00A9560C" w:rsidP="00A9560C">
            <w:pPr>
              <w:pStyle w:val="a6"/>
              <w:numPr>
                <w:ilvl w:val="0"/>
                <w:numId w:val="9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активизация работы профсоюзных организаций по совершенствованию переговорного процесса по заключению коллективных договоров;</w:t>
            </w:r>
          </w:p>
          <w:p w:rsidR="00A9560C" w:rsidRDefault="00A9560C" w:rsidP="00A9560C">
            <w:pPr>
              <w:pStyle w:val="a6"/>
              <w:numPr>
                <w:ilvl w:val="0"/>
                <w:numId w:val="9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обеспечение законности условий коллективных договоров;</w:t>
            </w:r>
          </w:p>
          <w:p w:rsidR="00A9560C" w:rsidRDefault="00A9560C" w:rsidP="00A9560C">
            <w:pPr>
              <w:pStyle w:val="a6"/>
              <w:numPr>
                <w:ilvl w:val="0"/>
                <w:numId w:val="9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расширение и закрепление дополнительных гарантий социально-трудовых прав работников через коллективные договоры;</w:t>
            </w:r>
          </w:p>
          <w:p w:rsidR="00A9560C" w:rsidRDefault="00A9560C" w:rsidP="00A9560C">
            <w:pPr>
              <w:pStyle w:val="a6"/>
              <w:numPr>
                <w:ilvl w:val="0"/>
                <w:numId w:val="9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распространение положительного опыта работы профсоюзных организаций по заключению коллективных договоров;</w:t>
            </w:r>
          </w:p>
          <w:p w:rsidR="00A9560C" w:rsidRDefault="00A9560C" w:rsidP="00A9560C">
            <w:pPr>
              <w:pStyle w:val="a6"/>
              <w:numPr>
                <w:ilvl w:val="0"/>
                <w:numId w:val="9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обеспечение гласности при заключении, выполнении условий и подведении итогов действующих коллективных договоров;</w:t>
            </w:r>
          </w:p>
          <w:p w:rsidR="00A9560C" w:rsidRDefault="00A9560C" w:rsidP="00A9560C">
            <w:pPr>
              <w:pStyle w:val="a6"/>
              <w:numPr>
                <w:ilvl w:val="0"/>
                <w:numId w:val="9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выявление коллективных договоров, положения которых значительно превосходят и развивают нормы действующего законодательства, обеспечивая достойную заработную плату, социальные льготы, гарантии и компенсации работникам.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1.4.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конкурсе принимают участие первичные профсоюзные организации,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входящие в состав Бурятской республиканской организации Профсоюза работников народного образования и науки РФ, численность членов Профсоюза которых составляет более половины от общего числа работников организации.</w:t>
            </w:r>
            <w:proofErr w:type="gramEnd"/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1.5. На конкурс предоставляются коллективные договоры, прошедшие уведомительную регистрацию.</w:t>
            </w:r>
          </w:p>
          <w:p w:rsidR="00A9560C" w:rsidRDefault="00A9560C" w:rsidP="00A9560C">
            <w:pPr>
              <w:shd w:val="clear" w:color="auto" w:fill="FFFFFF" w:themeFill="background1"/>
              <w:spacing w:after="75" w:line="360" w:lineRule="atLeast"/>
              <w:jc w:val="center"/>
              <w:outlineLvl w:val="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9560C" w:rsidRDefault="00A9560C" w:rsidP="00A9560C">
            <w:pPr>
              <w:shd w:val="clear" w:color="auto" w:fill="FFFFFF" w:themeFill="background1"/>
              <w:spacing w:after="75" w:line="360" w:lineRule="atLeast"/>
              <w:jc w:val="center"/>
              <w:outlineLvl w:val="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. Организация и проведение конкурса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2.1. Обязательным условием участия в конкурсе является наличие эффективно действующего коллективного договора, а также качество и результативность его разделов, регулярная отчетность о его выполнении на общем собрании или конференции работников.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2.2.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Организацию и контроль за ходом проведения конкурса, подведение его итогов осуществляет конкурсная комиссия Бурятской республиканской организации Профсоюза работников народного образования и науки РФ, которая оказывает методическую и практическую помощь территориальным организациям Профсоюзов, профсоюзным организациям в организации и проведении конкурса.</w:t>
            </w:r>
            <w:proofErr w:type="gramEnd"/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Состав комиссии утверждается постановлением Президиума.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2.3. Условия конкурса республиканская организация Профсоюза доводят до сведения территориальных организаций Профсоюзов.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2.4. В конкурсе участвуют коллективные договоры, действующие в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отчетном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году.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2.5. 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Конкурс проводится в два этапа.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2.5.1.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Первый этап (территориальный)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проводится территориальными организациями Профсоюзов среди первичных профсоюзных организаций 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</w:rPr>
              <w:t>до</w:t>
            </w:r>
            <w:proofErr w:type="gramEnd"/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</w:rPr>
              <w:t xml:space="preserve"> 1 октября  2016 года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Для участия в 1 этапе конкурса, организациями - участниками конкурса направляется в территориальную организацию Профсоюза следующие документы: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1) коллективный договор;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2) копии протоколов проведения общих собраний (конференций) работников, заседаний профсоюзного комитета, на которых рассматривался вопрос о ходе выполнения коллективного договора;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3) пояснительную записку, которая должна содержать следующую информацию:</w:t>
            </w:r>
          </w:p>
          <w:p w:rsidR="00A9560C" w:rsidRDefault="00A9560C" w:rsidP="00A9560C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полное наименование учреждения;</w:t>
            </w:r>
          </w:p>
          <w:p w:rsidR="00A9560C" w:rsidRDefault="00A9560C" w:rsidP="00A9560C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Ф.И.О. (полностью) председателя первичной профсоюзной организации;</w:t>
            </w:r>
          </w:p>
          <w:p w:rsidR="00A9560C" w:rsidRDefault="00A9560C" w:rsidP="00A9560C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Ф.И.О. (полностью) руководителя организации, работников которой объединяет соответствующая первичная профсоюзная организация;</w:t>
            </w:r>
          </w:p>
          <w:p w:rsidR="00A9560C" w:rsidRDefault="00A9560C" w:rsidP="00A9560C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число работающих, в том числе женщин, молодежи (до 35 лет);</w:t>
            </w:r>
          </w:p>
          <w:p w:rsidR="00A9560C" w:rsidRDefault="00A9560C" w:rsidP="00A9560C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число членов профсоюза, в том числе молодежи (до 35 лет), неработающих пенсионеров;</w:t>
            </w:r>
          </w:p>
          <w:p w:rsidR="00A9560C" w:rsidRDefault="00A9560C" w:rsidP="00A9560C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перечень дополнительных льгот и гарантий, предоставляемых работникам в соответствии с коллективным договором;</w:t>
            </w:r>
          </w:p>
          <w:p w:rsidR="00A9560C" w:rsidRDefault="00A9560C" w:rsidP="00A9560C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какие пункты КД не выполнены, причины невыполнения;</w:t>
            </w:r>
          </w:p>
          <w:p w:rsidR="00A9560C" w:rsidRDefault="00A9560C" w:rsidP="00A9560C">
            <w:pPr>
              <w:pStyle w:val="a6"/>
              <w:numPr>
                <w:ilvl w:val="0"/>
                <w:numId w:val="10"/>
              </w:num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сведения о проводимом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контроле за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выполнением коллективного договора.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ind w:firstLine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Территориальная организация Профсоюза определяют победителей и принимают решение о награждении.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ind w:firstLine="36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Коллективный договор, признанный лучшим на территориальном уровне по итогам 1 этапа конкурса, направляется территориальной организацией Профсоюза вместе с решением своего выборного органа и всеми документами, поступившими от соответствующей первичной профсоюзной организацией, в комиссию по подведению итого в конкурса для участия во втором этапе конкурса </w:t>
            </w: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</w:rPr>
              <w:t>до 3 октября  2016 года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</w:rPr>
              <w:t>.</w:t>
            </w:r>
            <w:proofErr w:type="gramEnd"/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2.5.2.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В рамках проведения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второго этапа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с 3 октября  по 1 ноября 2016 года,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комиссия по подведению итогов конкурса осуществляет рассмотрение поступивших коллективных договоров, включая их экспертизу по балльной системе по установленной форме (приложение № 1 к Положению).</w:t>
            </w:r>
            <w:proofErr w:type="gramEnd"/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Комиссия вправе направлять членов комиссии и экспертов в организации, представившие коллективные договоры на конкурс, для ознакомления с фактическим положением дел колдоговорного регулирования социально-трудовых отношений в организации.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2.6. Решения комиссии принимаются большинством голосов и оформляются протоколом.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Заседание комиссии по подведению итогов конкурса считается правомочным при участии не менее половины членов.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2.7. Итоги конкурса публикуются на сайте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broprof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2.8. Поощрение победителей.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 подведении итогов определяются три призовых места в зависимости от количества набранных баллов.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Победители конкурса (первичные профсоюзные организации) награждаются Дипломами и денежными премиями.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A7CAE" w:rsidRDefault="00EA7CAE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A7CAE" w:rsidRDefault="00EA7CAE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A7CAE" w:rsidRDefault="00EA7CAE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A7CAE" w:rsidRDefault="00EA7CAE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A7CAE" w:rsidRDefault="00EA7CAE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A7CAE" w:rsidRDefault="00EA7CAE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A7CAE" w:rsidRDefault="00EA7CAE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A7CAE" w:rsidRDefault="00EA7CAE" w:rsidP="00A9560C">
            <w:pPr>
              <w:shd w:val="clear" w:color="auto" w:fill="FFFFFF" w:themeFill="background1"/>
              <w:spacing w:before="75" w:after="75" w:line="345" w:lineRule="atLeast"/>
              <w:ind w:firstLine="708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 Положению о конкурсе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“Лучший коллективный договор”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center"/>
              <w:rPr>
                <w:rFonts w:ascii="Arial" w:eastAsia="Times New Roman" w:hAnsi="Arial" w:cs="Arial"/>
                <w:b/>
                <w:bCs/>
                <w:color w:val="575757"/>
                <w:sz w:val="28"/>
                <w:szCs w:val="28"/>
              </w:rPr>
            </w:pP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Ведомость экспертизы коллективного договора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________________________________________________________________________________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( наименование организации)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/>
              <w:jc w:val="center"/>
              <w:rPr>
                <w:rFonts w:ascii="Arial" w:eastAsia="Times New Roman" w:hAnsi="Arial" w:cs="Arial"/>
                <w:color w:val="575757"/>
                <w:sz w:val="21"/>
                <w:szCs w:val="21"/>
              </w:rPr>
            </w:pP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Численность работающих __________,  в т.ч. женщин __________,  молодежи (до 35 лет) ______________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Численность членов профсоюза  ________________,  в т. ч. молодежи (до 35 лет)  ____________,  неработающих пенсионеров (ветеранов) 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1C1C1C"/>
              <w:tblLayout w:type="fixed"/>
              <w:tblLook w:val="04A0"/>
            </w:tblPr>
            <w:tblGrid>
              <w:gridCol w:w="4847"/>
              <w:gridCol w:w="2007"/>
              <w:gridCol w:w="2531"/>
            </w:tblGrid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</w:pPr>
                </w:p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>Критерии оценки</w:t>
                  </w:r>
                  <w:proofErr w:type="gramEnd"/>
                  <w:r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 xml:space="preserve"> коллективного договора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b/>
                      <w:sz w:val="21"/>
                      <w:szCs w:val="21"/>
                      <w:lang w:val="en-US"/>
                    </w:rPr>
                  </w:pPr>
                </w:p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>Максимальная оценка, баллов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</w:pPr>
                </w:p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</w:pPr>
                </w:p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1"/>
                      <w:szCs w:val="21"/>
                    </w:rPr>
                    <w:t>Фактическая оценка по результатам экспертизы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1. Отсутствие некорректных формулировок, в том числе ухудшающих положение работников; допускающих неоднозначное толкование; ухудшающих права первичной профсоюзной организации (минус 10 баллов за каждое положение).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2. Включение положений, предусматривающих гарантии деятельности профсоюзного комитета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+ 20 за каждое положение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3. Полнота включения положений, которые в соответствии с трудовым законодательством регулируются коллективным договором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color w:val="575757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575757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4. Объем дополнительных социально-экономических гарантий работникам по сравнению с действующим законодательством и иными правовыми актами, содержащими нормы трудового права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+ 20 за каждую дополнительную гарантию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color w:val="575757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575757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5. Включение в коллективный договор положений, направленных на социальную защиту молодежи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color w:val="575757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575757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6. Установление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в коллективном договоре порядка проведения индексации заработной платы в связи с ростом потребительских цен на товары</w:t>
                  </w:r>
                  <w:proofErr w:type="gramEnd"/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и услуги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t>7. Закрепление в коллективном договоре систем оплаты труда, включая формы, размеры ставок (окладов), соотношение в их размерах между отдельными категориями работников, системы, условия и порядок стимулирования.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color w:val="575757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575757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8. Выделение средств целевого назначения на создание и совершенствование системы подготовки, переподготовки и повышения квалификации кадров.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color w:val="575757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575757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9. Наличие и выполнение раздела «Охрана труда»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10. Обязательства по аттестации рабочих мест по условиям труда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11. Организация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контроля за</w:t>
                  </w:r>
                  <w:proofErr w:type="gramEnd"/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реализацией положений коллективного договора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12. Ознакомление работников с коллективным договором.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13. Подведение итогов выполнения коллективного договора на общем собрании (конференции) работников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14. Выполнение коллективного договора (за каждое невыполненное обязательство минус 10 баллов)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  <w:tr w:rsidR="00A9560C" w:rsidTr="00CA397F">
              <w:tc>
                <w:tcPr>
                  <w:tcW w:w="4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C1C1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before="75" w:after="75"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Общее количество баллов: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C1C1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C1C1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9560C" w:rsidRDefault="00A9560C" w:rsidP="00CA397F">
                  <w:pPr>
                    <w:shd w:val="clear" w:color="auto" w:fill="FFFFFF" w:themeFill="background1"/>
                    <w:spacing w:line="345" w:lineRule="atLeast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Подписи проводивших экспертизу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ab/>
            </w:r>
            <w:r>
              <w:rPr>
                <w:rFonts w:ascii="Arial" w:eastAsia="Times New Roman" w:hAnsi="Arial" w:cs="Arial"/>
                <w:sz w:val="21"/>
                <w:szCs w:val="21"/>
              </w:rPr>
              <w:tab/>
            </w:r>
            <w:r>
              <w:rPr>
                <w:rFonts w:ascii="Arial" w:eastAsia="Times New Roman" w:hAnsi="Arial" w:cs="Arial"/>
                <w:sz w:val="21"/>
                <w:szCs w:val="21"/>
              </w:rPr>
              <w:tab/>
            </w:r>
            <w:r>
              <w:rPr>
                <w:rFonts w:ascii="Arial" w:eastAsia="Times New Roman" w:hAnsi="Arial" w:cs="Arial"/>
                <w:sz w:val="21"/>
                <w:szCs w:val="21"/>
              </w:rPr>
              <w:tab/>
            </w:r>
            <w:r>
              <w:rPr>
                <w:rFonts w:ascii="Arial" w:eastAsia="Times New Roman" w:hAnsi="Arial" w:cs="Arial"/>
                <w:sz w:val="21"/>
                <w:szCs w:val="21"/>
              </w:rPr>
              <w:tab/>
              <w:t xml:space="preserve"> ____________________ (ФИО)</w:t>
            </w:r>
          </w:p>
          <w:p w:rsidR="00A9560C" w:rsidRDefault="00A9560C" w:rsidP="00A9560C">
            <w:pPr>
              <w:shd w:val="clear" w:color="auto" w:fill="FFFFFF" w:themeFill="background1"/>
              <w:spacing w:before="75" w:after="75" w:line="345" w:lineRule="atLeast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Председатель комиссии по подведению итогов конкурса  «Лучший коллективный договор»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ab/>
            </w:r>
            <w:r>
              <w:rPr>
                <w:rFonts w:ascii="Arial" w:eastAsia="Times New Roman" w:hAnsi="Arial" w:cs="Arial"/>
                <w:sz w:val="21"/>
                <w:szCs w:val="21"/>
              </w:rPr>
              <w:tab/>
              <w:t xml:space="preserve"> ____________________ (ФИО)</w:t>
            </w:r>
          </w:p>
          <w:p w:rsidR="00A9560C" w:rsidRDefault="00A9560C" w:rsidP="00A9560C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9560C" w:rsidRDefault="00A9560C" w:rsidP="00A9560C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A7CAE" w:rsidRDefault="00EA7CAE" w:rsidP="00A9560C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A7CAE" w:rsidRDefault="00EA7CAE" w:rsidP="00A9560C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A7CAE" w:rsidRDefault="00EA7CAE" w:rsidP="00A9560C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A7CAE" w:rsidRDefault="00EA7CAE" w:rsidP="00A9560C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C656E" w:rsidRDefault="00CC656E" w:rsidP="00A9560C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9560C" w:rsidRDefault="00EA7CAE" w:rsidP="00A9560C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№2</w:t>
            </w:r>
          </w:p>
          <w:p w:rsidR="00A9560C" w:rsidRPr="00314CAC" w:rsidRDefault="00A9560C" w:rsidP="00A9560C">
            <w:pPr>
              <w:ind w:left="720"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9560C" w:rsidRPr="0017760A" w:rsidRDefault="00A9560C" w:rsidP="00EA7CAE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76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Положение </w:t>
            </w:r>
          </w:p>
          <w:p w:rsidR="00A9560C" w:rsidRPr="0017760A" w:rsidRDefault="00A9560C" w:rsidP="00EA7CAE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760A">
              <w:rPr>
                <w:rFonts w:ascii="Times New Roman" w:hAnsi="Times New Roman"/>
                <w:b/>
                <w:bCs/>
                <w:sz w:val="28"/>
                <w:szCs w:val="28"/>
              </w:rPr>
              <w:t>о республиканском конкурсе</w:t>
            </w:r>
            <w:proofErr w:type="gramStart"/>
            <w:r w:rsidRPr="0017760A">
              <w:rPr>
                <w:rFonts w:ascii="Times New Roman" w:hAnsi="Times New Roman"/>
                <w:b/>
                <w:bCs/>
                <w:sz w:val="28"/>
                <w:szCs w:val="28"/>
              </w:rPr>
              <w:t>«М</w:t>
            </w:r>
            <w:proofErr w:type="gramEnd"/>
            <w:r w:rsidRPr="0017760A">
              <w:rPr>
                <w:rFonts w:ascii="Times New Roman" w:hAnsi="Times New Roman"/>
                <w:b/>
                <w:bCs/>
                <w:sz w:val="28"/>
                <w:szCs w:val="28"/>
              </w:rPr>
              <w:t>ы выбираем Профсоюз!»</w:t>
            </w:r>
          </w:p>
          <w:p w:rsidR="00A9560C" w:rsidRDefault="00A9560C" w:rsidP="00A9560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 Общие положения</w:t>
            </w:r>
          </w:p>
          <w:p w:rsidR="00A9560C" w:rsidRDefault="00A9560C" w:rsidP="00A9560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1.1.Республиканский конкурс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Мы выбираем Профсоюз!»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 (далее Конкурс) проводится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участием территориальных профсоюзных организаций и первичных профсоюзных организаций прямого подчинения республиканской организации Профсоюза.   </w:t>
            </w:r>
          </w:p>
          <w:p w:rsidR="00A9560C" w:rsidRDefault="00A9560C" w:rsidP="00A9560C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1.2. Конкурс направлен на развитие информационной и агитационной работы Профсоюза работников отрасли. </w:t>
            </w:r>
          </w:p>
          <w:p w:rsidR="00A9560C" w:rsidRDefault="00A9560C" w:rsidP="00A9560C">
            <w:pPr>
              <w:numPr>
                <w:ilvl w:val="1"/>
                <w:numId w:val="2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Положение устанавливает порядок и условия проведения Конкурса, основные требования к участникам, процедуру определения и награждения победителей.</w:t>
            </w:r>
          </w:p>
          <w:p w:rsidR="00A9560C" w:rsidRDefault="00A9560C" w:rsidP="00A9560C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 Участники Конкурса</w:t>
            </w:r>
          </w:p>
          <w:p w:rsidR="00A9560C" w:rsidRDefault="00A9560C" w:rsidP="00A9560C">
            <w:pPr>
              <w:numPr>
                <w:ilvl w:val="1"/>
                <w:numId w:val="3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Участниками Конкурса могут быть члены профсоюзных организаций отрасли.</w:t>
            </w:r>
          </w:p>
          <w:p w:rsidR="00A9560C" w:rsidRDefault="00A9560C" w:rsidP="00A956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3. Организация и порядок проведения Конкурса</w:t>
            </w:r>
          </w:p>
          <w:p w:rsidR="00A9560C" w:rsidRPr="0017760A" w:rsidRDefault="00A9560C" w:rsidP="00A9560C">
            <w:pPr>
              <w:numPr>
                <w:ilvl w:val="1"/>
                <w:numId w:val="4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проводится </w:t>
            </w:r>
            <w:r w:rsidRPr="0017760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 1 апреля 2016 г. по 1 </w:t>
            </w:r>
            <w:r w:rsidR="00CC656E">
              <w:rPr>
                <w:rFonts w:ascii="Times New Roman" w:hAnsi="Times New Roman"/>
                <w:b/>
                <w:i/>
                <w:sz w:val="28"/>
                <w:szCs w:val="28"/>
              </w:rPr>
              <w:t>ноября</w:t>
            </w:r>
            <w:r w:rsidRPr="0017760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2016 г. </w:t>
            </w:r>
          </w:p>
          <w:p w:rsidR="00A9560C" w:rsidRDefault="00A9560C" w:rsidP="00A9560C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3.2.  Материалы принимаются в срок </w:t>
            </w:r>
            <w:r w:rsidRPr="0017760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 </w:t>
            </w:r>
            <w:r w:rsidR="00CC656E">
              <w:rPr>
                <w:rFonts w:ascii="Times New Roman" w:hAnsi="Times New Roman"/>
                <w:b/>
                <w:i/>
                <w:sz w:val="28"/>
                <w:szCs w:val="28"/>
              </w:rPr>
              <w:t>15октября</w:t>
            </w:r>
            <w:r w:rsidRPr="0017760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2016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включительно в печатном и электронном виде (на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DVD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дисках, или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-mail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  <w:t>03@</w:t>
            </w:r>
            <w:proofErr w:type="spellStart"/>
            <w:r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u w:val="single"/>
                <w:lang w:val="en-US"/>
              </w:rPr>
              <w:t>broprof</w:t>
            </w:r>
            <w:proofErr w:type="spellEnd"/>
            <w:r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u w:val="single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адресу: 670000, г. Улан-Удэ, ул. Коммунистическая, 49,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Профсоюза работников народного образования и науки РФ,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№18. </w:t>
            </w:r>
          </w:p>
          <w:p w:rsidR="00A9560C" w:rsidRDefault="00A9560C" w:rsidP="00A9560C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 К участию в Конкурсе допускаются только представленные в срок работы.</w:t>
            </w:r>
          </w:p>
          <w:p w:rsidR="00A9560C" w:rsidRDefault="00A9560C" w:rsidP="00A9560C">
            <w:pPr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 Все представленные на Конкурс работы обратно не возвращаются и не рецензируются.</w:t>
            </w:r>
          </w:p>
          <w:p w:rsidR="00A9560C" w:rsidRDefault="00A9560C" w:rsidP="00A9560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4. Организация Конкурса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4.1. Организацию и  проведение Конкурса осуществляет Оргкомитет, являющийся одновременно жюри Конкурса.  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 Оргкомитет: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обеспечивает сбор материалов, представленных на Конкурс;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осуществляет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соответствием материалов условиям Конкурса.</w:t>
            </w:r>
          </w:p>
          <w:p w:rsidR="00A9560C" w:rsidRDefault="00A9560C" w:rsidP="00A9560C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5. Требования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представляемым конкурсным работами критерии оценок</w:t>
            </w:r>
          </w:p>
          <w:p w:rsidR="00A9560C" w:rsidRDefault="00A9560C" w:rsidP="00EA7CAE">
            <w:pPr>
              <w:numPr>
                <w:ilvl w:val="1"/>
                <w:numId w:val="5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работам необходимо приложить сопроводительный лист с указанием:</w:t>
            </w:r>
          </w:p>
          <w:p w:rsidR="00A9560C" w:rsidRDefault="00A9560C" w:rsidP="00EA7CA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названия работы;</w:t>
            </w:r>
          </w:p>
          <w:p w:rsidR="00A9560C" w:rsidRDefault="00A9560C" w:rsidP="00EA7CA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ФИО автор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или наименование организации-автора,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контактный телефон (обязательно!)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560C" w:rsidRDefault="00A9560C" w:rsidP="00EA7CA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место работы участник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A9560C" w:rsidRDefault="00A9560C" w:rsidP="00EA7CA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принадлежность к отраслевому Профсоюзу.</w:t>
            </w:r>
          </w:p>
          <w:p w:rsidR="00A9560C" w:rsidRDefault="00A9560C" w:rsidP="00EA7CAE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сопроводительного листа работы не принимаются.</w:t>
            </w:r>
          </w:p>
          <w:p w:rsidR="00A9560C" w:rsidRDefault="00A9560C" w:rsidP="00A9560C">
            <w:pPr>
              <w:numPr>
                <w:ilvl w:val="1"/>
                <w:numId w:val="6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должна носить авторский характер, использование чужих изображений, фото, рисунков, в том числе из сети Интернет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не допускается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Перед оценкой работ жюри проводит экспертизу авторства и имеет право отстранить от участия в Конкурсе в случае несоответствия вышеуказанным требованиям. Работа должна соответствовать стандартам в оформлении плакатов.</w:t>
            </w:r>
          </w:p>
          <w:p w:rsidR="00A9560C" w:rsidRDefault="00A9560C" w:rsidP="00A9560C">
            <w:pPr>
              <w:numPr>
                <w:ilvl w:val="1"/>
                <w:numId w:val="6"/>
              </w:numPr>
              <w:tabs>
                <w:tab w:val="num" w:pos="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Плакат должен призывать вступить в Профсоюз, информировать о деятельности Профсоюза по защите прав работников образования /обучающихся или содержать критику социально-трудовых отношений в России.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требования: плакат должен быть исполнен на одном листе бумаги формата А3,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или А1. Для создания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агитплакатов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возможно использование всех видов красок, карандашей, специализированных компьютерных программ. Плакат не должен быть копией известных иллюстраций или произведений. В Оргкомитет сдается оригинал (в печатном виде) или копия (в электронном виде). При нарушении этих требований жюри имеет право исключить авторов из числа участников Конкурса.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(от 0 до 10 баллов за каждый критерий):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доступность информации для любого работника (обучающегося);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убедительность и использование конкретных примеров  роли  Профсоюза в решении социально-значимых  вопросов;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отражение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тематики защиты прав  работника/обучающегося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профессионализм в исполнении и дизайне работы;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авторство и оригинальность работы, использование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собственных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оригинальных изображений, фото и рисунков;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наличие информации о том, что дает членство в Профсоюзе каждому работнику.</w:t>
            </w:r>
          </w:p>
          <w:p w:rsidR="00A9560C" w:rsidRDefault="00A9560C" w:rsidP="00A956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6. Подведение итогов Конкурса</w:t>
            </w:r>
          </w:p>
          <w:p w:rsidR="00A9560C" w:rsidRDefault="00A9560C" w:rsidP="00A9560C">
            <w:pPr>
              <w:numPr>
                <w:ilvl w:val="1"/>
                <w:numId w:val="7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Жюри Конкурса в срок </w:t>
            </w:r>
            <w:r w:rsidRPr="0017760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 </w:t>
            </w:r>
            <w:r w:rsidR="00CC656E">
              <w:rPr>
                <w:rFonts w:ascii="Times New Roman" w:hAnsi="Times New Roman"/>
                <w:b/>
                <w:i/>
                <w:sz w:val="28"/>
                <w:szCs w:val="28"/>
              </w:rPr>
              <w:t>15</w:t>
            </w:r>
            <w:r w:rsidRPr="0017760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 1 </w:t>
            </w:r>
            <w:r w:rsidR="00CC656E">
              <w:rPr>
                <w:rFonts w:ascii="Times New Roman" w:hAnsi="Times New Roman"/>
                <w:b/>
                <w:i/>
                <w:sz w:val="28"/>
                <w:szCs w:val="28"/>
              </w:rPr>
              <w:t>ноября</w:t>
            </w:r>
            <w:r w:rsidRPr="0017760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2016 года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проводит экспертизу представленных работ и определяет победителя Конкурса. </w:t>
            </w:r>
          </w:p>
          <w:p w:rsidR="00A9560C" w:rsidRDefault="00A9560C" w:rsidP="00A9560C">
            <w:pPr>
              <w:numPr>
                <w:ilvl w:val="1"/>
                <w:numId w:val="7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участники Конкурса приглашаются на торжественную церемонию награждения и получают Дипломы участника.</w:t>
            </w:r>
          </w:p>
          <w:p w:rsidR="00A9560C" w:rsidRDefault="00A9560C" w:rsidP="00A9560C">
            <w:pPr>
              <w:numPr>
                <w:ilvl w:val="1"/>
                <w:numId w:val="7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Победитель Конкурса награждается ценным призом.</w:t>
            </w:r>
          </w:p>
          <w:p w:rsidR="00A9560C" w:rsidRDefault="00A9560C" w:rsidP="00A9560C">
            <w:pPr>
              <w:numPr>
                <w:ilvl w:val="1"/>
                <w:numId w:val="7"/>
              </w:numPr>
              <w:tabs>
                <w:tab w:val="left" w:pos="783"/>
                <w:tab w:val="left" w:pos="1133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Участники, занявшие 2-ое и 3-е место, награждаются поощрительными призами.</w:t>
            </w:r>
          </w:p>
          <w:p w:rsidR="00A9560C" w:rsidRDefault="00A9560C" w:rsidP="00A9560C">
            <w:pPr>
              <w:numPr>
                <w:ilvl w:val="1"/>
                <w:numId w:val="7"/>
              </w:numPr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Лучшие работы, представленные на Конкурс, публикуются  на сайте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рескома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Профсоюза работников народного образования и науки РФ, организуется выставка.</w:t>
            </w:r>
          </w:p>
          <w:p w:rsidR="00A9560C" w:rsidRDefault="00A9560C" w:rsidP="00A9560C">
            <w:pPr>
              <w:numPr>
                <w:ilvl w:val="1"/>
                <w:numId w:val="7"/>
              </w:numPr>
              <w:tabs>
                <w:tab w:val="left" w:pos="783"/>
                <w:tab w:val="left" w:pos="1133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Все материалы Конкурса не возвращаются и переходят в собственность республиканской организации Профсоюза  со всеми правами на их использование, распространение и тиражирование. Лучшие работы будут представлены в профсоюзных СМИ, экспозиции выставок, а также использованы иным образом (для изготовления календарей, агитационной литературы и  т.д.).</w:t>
            </w:r>
          </w:p>
          <w:p w:rsidR="00A9560C" w:rsidRDefault="00A9560C" w:rsidP="00A9560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560C" w:rsidRDefault="00A9560C" w:rsidP="00A9560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9560C" w:rsidRDefault="00A9560C" w:rsidP="00A9560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9560C" w:rsidRDefault="00A9560C" w:rsidP="00A9560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9560C" w:rsidRDefault="00A9560C" w:rsidP="00A9560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9560C" w:rsidRDefault="00A9560C" w:rsidP="00A9560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9560C" w:rsidRPr="00DB3A7E" w:rsidRDefault="00A9560C" w:rsidP="00A9560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A397F" w:rsidRDefault="00CA397F"/>
    <w:sectPr w:rsidR="00CA397F" w:rsidSect="00EA7CA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7"/>
    <w:multiLevelType w:val="multilevel"/>
    <w:tmpl w:val="951CD252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B"/>
    <w:multiLevelType w:val="multilevel"/>
    <w:tmpl w:val="0000000B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FE90FBB"/>
    <w:multiLevelType w:val="hybridMultilevel"/>
    <w:tmpl w:val="A6602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1633EB"/>
    <w:multiLevelType w:val="hybridMultilevel"/>
    <w:tmpl w:val="E8689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43A3D"/>
    <w:multiLevelType w:val="hybridMultilevel"/>
    <w:tmpl w:val="D46CA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E655C"/>
    <w:multiLevelType w:val="hybridMultilevel"/>
    <w:tmpl w:val="7EA88F9C"/>
    <w:lvl w:ilvl="0" w:tplc="A96AE5E0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76FC9"/>
    <w:multiLevelType w:val="multilevel"/>
    <w:tmpl w:val="659EC750"/>
    <w:lvl w:ilvl="0">
      <w:start w:val="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0">
    <w:nsid w:val="3D356540"/>
    <w:multiLevelType w:val="hybridMultilevel"/>
    <w:tmpl w:val="E542C780"/>
    <w:lvl w:ilvl="0" w:tplc="5AF6F49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50DE0"/>
    <w:multiLevelType w:val="hybridMultilevel"/>
    <w:tmpl w:val="11183BAC"/>
    <w:lvl w:ilvl="0" w:tplc="044C4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5F51B6"/>
    <w:rsid w:val="00144D3F"/>
    <w:rsid w:val="001A1535"/>
    <w:rsid w:val="001C4F56"/>
    <w:rsid w:val="001C512A"/>
    <w:rsid w:val="001D42C1"/>
    <w:rsid w:val="0038443C"/>
    <w:rsid w:val="003C1B2C"/>
    <w:rsid w:val="004B34AF"/>
    <w:rsid w:val="00567EFC"/>
    <w:rsid w:val="00596CF1"/>
    <w:rsid w:val="005E3BC3"/>
    <w:rsid w:val="005F51B6"/>
    <w:rsid w:val="00605B67"/>
    <w:rsid w:val="006135B6"/>
    <w:rsid w:val="0083236F"/>
    <w:rsid w:val="00855D20"/>
    <w:rsid w:val="008579A3"/>
    <w:rsid w:val="00940F7F"/>
    <w:rsid w:val="00A9560C"/>
    <w:rsid w:val="00AB10E0"/>
    <w:rsid w:val="00B2501B"/>
    <w:rsid w:val="00B257AD"/>
    <w:rsid w:val="00B67925"/>
    <w:rsid w:val="00BF62BB"/>
    <w:rsid w:val="00C06DED"/>
    <w:rsid w:val="00CA397F"/>
    <w:rsid w:val="00CA5225"/>
    <w:rsid w:val="00CC656E"/>
    <w:rsid w:val="00D84638"/>
    <w:rsid w:val="00E6605F"/>
    <w:rsid w:val="00EA7CAE"/>
    <w:rsid w:val="00F7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B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60C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51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1B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9560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9560C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u">
    <w:name w:val="u"/>
    <w:basedOn w:val="a"/>
    <w:rsid w:val="00A9560C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B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60C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51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1B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9560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9560C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u">
    <w:name w:val="u"/>
    <w:basedOn w:val="a"/>
    <w:rsid w:val="00A9560C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pro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03@broprof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03@bropro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oprof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08C2-4ACB-4BA3-B0EB-0396C495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MASHINA</dc:creator>
  <cp:lastModifiedBy>Читальный зал</cp:lastModifiedBy>
  <cp:revision>6</cp:revision>
  <cp:lastPrinted>2016-09-20T03:27:00Z</cp:lastPrinted>
  <dcterms:created xsi:type="dcterms:W3CDTF">2016-07-19T05:14:00Z</dcterms:created>
  <dcterms:modified xsi:type="dcterms:W3CDTF">2016-11-11T06:42:00Z</dcterms:modified>
</cp:coreProperties>
</file>