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FB" w:rsidRPr="00655CFB" w:rsidRDefault="00655CFB" w:rsidP="00655CFB">
      <w:pPr>
        <w:pStyle w:val="a3"/>
        <w:spacing w:before="187" w:beforeAutospacing="0" w:after="187" w:afterAutospacing="0" w:line="473" w:lineRule="atLeast"/>
        <w:ind w:left="187" w:right="187"/>
        <w:rPr>
          <w:rFonts w:ascii="Arial" w:hAnsi="Arial" w:cs="Arial"/>
          <w:color w:val="3D3D3D"/>
          <w:sz w:val="28"/>
          <w:szCs w:val="28"/>
        </w:rPr>
      </w:pPr>
      <w:r w:rsidRPr="00655CFB">
        <w:rPr>
          <w:rFonts w:ascii="Arial" w:hAnsi="Arial" w:cs="Arial"/>
          <w:color w:val="3D3D3D"/>
          <w:sz w:val="28"/>
          <w:szCs w:val="28"/>
        </w:rPr>
        <w:t xml:space="preserve">19.06.21 гр.19-1 Техническое обслуживание т.о. преподаватель Захаров Г.П. </w:t>
      </w:r>
    </w:p>
    <w:p w:rsidR="00655CFB" w:rsidRPr="00655CFB" w:rsidRDefault="00655CFB" w:rsidP="00655CFB">
      <w:pPr>
        <w:pStyle w:val="1"/>
        <w:shd w:val="clear" w:color="auto" w:fill="F0F0F0"/>
        <w:spacing w:before="157" w:beforeAutospacing="0"/>
        <w:ind w:left="470"/>
        <w:rPr>
          <w:rFonts w:ascii="Verdana" w:hAnsi="Verdana"/>
          <w:i/>
          <w:iCs/>
          <w:color w:val="20009F"/>
          <w:sz w:val="36"/>
          <w:szCs w:val="36"/>
        </w:rPr>
      </w:pPr>
      <w:proofErr w:type="spellStart"/>
      <w:r w:rsidRPr="00655CFB">
        <w:rPr>
          <w:sz w:val="28"/>
          <w:szCs w:val="28"/>
        </w:rPr>
        <w:t>Тема</w:t>
      </w:r>
      <w:proofErr w:type="gramStart"/>
      <w:r w:rsidRPr="00655CFB">
        <w:rPr>
          <w:sz w:val="28"/>
          <w:szCs w:val="28"/>
        </w:rPr>
        <w:t>:Р</w:t>
      </w:r>
      <w:proofErr w:type="gramEnd"/>
      <w:r w:rsidRPr="00655CFB">
        <w:rPr>
          <w:sz w:val="28"/>
          <w:szCs w:val="28"/>
        </w:rPr>
        <w:t>абота</w:t>
      </w:r>
      <w:proofErr w:type="spellEnd"/>
      <w:r w:rsidRPr="00655CFB">
        <w:rPr>
          <w:sz w:val="28"/>
          <w:szCs w:val="28"/>
        </w:rPr>
        <w:t xml:space="preserve"> систем защит на турбине при различных</w:t>
      </w:r>
      <w:r>
        <w:rPr>
          <w:sz w:val="28"/>
          <w:szCs w:val="28"/>
        </w:rPr>
        <w:t xml:space="preserve"> </w:t>
      </w:r>
      <w:r w:rsidRPr="00655CFB">
        <w:rPr>
          <w:sz w:val="28"/>
          <w:szCs w:val="28"/>
        </w:rPr>
        <w:t>аварийных ситуациях</w:t>
      </w:r>
      <w:r>
        <w:rPr>
          <w:sz w:val="28"/>
          <w:szCs w:val="28"/>
        </w:rPr>
        <w:t>.</w:t>
      </w:r>
      <w:r w:rsidRPr="00655CFB">
        <w:rPr>
          <w:rFonts w:ascii="Verdana" w:hAnsi="Verdana"/>
          <w:i/>
          <w:iCs/>
          <w:color w:val="20009F"/>
          <w:sz w:val="36"/>
          <w:szCs w:val="36"/>
        </w:rPr>
        <w:t xml:space="preserve"> Технологическая сигнализация и защиты турбины</w:t>
      </w:r>
    </w:p>
    <w:p w:rsidR="00655CFB" w:rsidRPr="00655CFB" w:rsidRDefault="00655CFB" w:rsidP="00655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FB">
        <w:rPr>
          <w:rFonts w:ascii="Verdana" w:eastAsia="Times New Roman" w:hAnsi="Verdana" w:cs="Times New Roman"/>
          <w:color w:val="202521"/>
          <w:sz w:val="21"/>
          <w:szCs w:val="21"/>
          <w:lang w:eastAsia="ru-RU"/>
        </w:rPr>
        <w:br/>
      </w:r>
      <w:r w:rsidRPr="00655CFB">
        <w:rPr>
          <w:rFonts w:ascii="Verdana" w:eastAsia="Times New Roman" w:hAnsi="Verdana" w:cs="Times New Roman"/>
          <w:color w:val="202521"/>
          <w:sz w:val="21"/>
          <w:szCs w:val="21"/>
          <w:lang w:eastAsia="ru-RU"/>
        </w:rPr>
        <w:br/>
      </w:r>
      <w:r w:rsidRPr="00655CFB">
        <w:rPr>
          <w:rFonts w:ascii="Verdana" w:eastAsia="Times New Roman" w:hAnsi="Verdana" w:cs="Times New Roman"/>
          <w:color w:val="202521"/>
          <w:sz w:val="21"/>
          <w:szCs w:val="21"/>
          <w:lang w:eastAsia="ru-RU"/>
        </w:rPr>
        <w:br/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Технологическая сигнализаци</w:t>
      </w:r>
      <w:proofErr w:type="gramStart"/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я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(</w:t>
      </w:r>
      <w:proofErr w:type="gram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информационная, вызывная, предупредительная и аварийная) служит для быстрого оповещения оперативного персонала о возникающих неисправностях и отклонениях от режимов нормальной эксплуатации. </w:t>
      </w:r>
      <w:proofErr w:type="spellStart"/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Информационная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предназначена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 для контроля состояния оборудования. </w:t>
      </w:r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Вызывная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– </w:t>
      </w:r>
      <w:proofErr w:type="gram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дл</w:t>
      </w:r>
      <w:proofErr w:type="gram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я оповещения оперативного персонала об отклонениях в работе системы контроля эксплуатационных параметров турбины. </w:t>
      </w:r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Предупредительная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– </w:t>
      </w:r>
      <w:proofErr w:type="gram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дл</w:t>
      </w:r>
      <w:proofErr w:type="gram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я оповещения оперативного персонала о нарушении условий эксплуатации оборудования или отклонении параметров работы оборудования от номинальных значений. </w:t>
      </w:r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Аварийная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– </w:t>
      </w:r>
      <w:proofErr w:type="gram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оп</w:t>
      </w:r>
      <w:proofErr w:type="gram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овещает оперативный персонал об аварийном отключении турбины или отклонении параметров работы турбины до значений, соответствующих аварийному состоянию [24].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Срабатывание сигнализации сопровождается появлением </w:t>
      </w:r>
      <w:proofErr w:type="spellStart"/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светового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и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  <w:proofErr w:type="spellStart"/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звукового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сигналов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. Фиксация этих сигналов осуществляется нажатием кнопок «Съем мигания светового табло» или «Съем звука», расположенных на панелях управления БЩУ.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Перечень параметров (сигналов) технологической сигнализации обычно приводится в инструкции по эксплуатации конкретной турбины. Для турбин К-1000-60/1500-2,2М он составляет около 60 сигналов.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Пример представления технологической сигнализации приводится в табл. 15.1 [24].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Таблица 15.1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7"/>
        <w:gridCol w:w="954"/>
        <w:gridCol w:w="788"/>
        <w:gridCol w:w="2896"/>
        <w:gridCol w:w="2370"/>
      </w:tblGrid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lastRenderedPageBreak/>
              <w:t>Наименование сигнала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№ панели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№ табло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Уставка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 срабатывания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Вид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сигнализ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.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Защита по вакууму не введена полностью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НЧ-25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Давление в ГК более 0,2 кгс/см</w:t>
            </w:r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(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абс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) при наборе вакуума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Предупредительная.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Повышение уровня в ПГ-1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НЧ-25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Сработала защита, повышение уровня в ПГ-1 более 620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Аварийная.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Ротор ВПУ вращается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НЧ-27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Информационная.</w:t>
            </w:r>
          </w:p>
        </w:tc>
      </w:tr>
    </w:tbl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after="0" w:line="240" w:lineRule="auto"/>
        <w:jc w:val="center"/>
        <w:rPr>
          <w:rFonts w:ascii="Verdana" w:eastAsia="Times New Roman" w:hAnsi="Verdana" w:cs="Times New Roman"/>
          <w:color w:val="202521"/>
          <w:sz w:val="21"/>
          <w:szCs w:val="21"/>
          <w:lang w:eastAsia="ru-RU"/>
        </w:rPr>
      </w:pPr>
    </w:p>
    <w:p w:rsidR="00655CFB" w:rsidRPr="00655CFB" w:rsidRDefault="00655CFB" w:rsidP="00655CFB">
      <w:pPr>
        <w:shd w:val="clear" w:color="auto" w:fill="F0F0F0"/>
        <w:spacing w:after="0" w:line="240" w:lineRule="auto"/>
        <w:jc w:val="center"/>
        <w:rPr>
          <w:rFonts w:ascii="Verdana" w:eastAsia="Times New Roman" w:hAnsi="Verdana" w:cs="Times New Roman"/>
          <w:color w:val="202521"/>
          <w:sz w:val="21"/>
          <w:szCs w:val="21"/>
          <w:lang w:eastAsia="ru-RU"/>
        </w:rPr>
      </w:pP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 xml:space="preserve">Технологические </w:t>
      </w:r>
      <w:proofErr w:type="spellStart"/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защиты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безаварийно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 отключают турбину при достижении значения параметров аварийной регламентной границы.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Как отмечалось ранее, большую опасность для турбины имеет недопустимое возрастание частоты вращения сверх допустимых критических пределов (на 11…12 % более номинальной) (</w:t>
      </w:r>
      <w:proofErr w:type="gram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см</w:t>
      </w:r>
      <w:proofErr w:type="gram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. п. 14.1). Чтобы не допустить </w:t>
      </w:r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разгон</w:t>
      </w:r>
      <w:proofErr w:type="gramStart"/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а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(</w:t>
      </w:r>
      <w:proofErr w:type="gram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чрезмерного повышения частоты вращения) паром, подаваемым в ЦВД через СРК ВД, и аварии турбины, она оснащена двумя автоматами безопасности (АБ). Защита вызывает закрытие всех стопорных и регулирующих клапанов высокого давления, стопорных (где они установлены) и отсечных (регулирующих) заслонок </w:t>
      </w:r>
      <w:proofErr w:type="spell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промперегрева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 при срабатывании любого АБ. При этом</w:t>
      </w:r>
      <w:proofErr w:type="gram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,</w:t>
      </w:r>
      <w:proofErr w:type="gram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 а также при срабатывании АЗ по любой из технологических защит с остановом ТА подача пара в турбину через СРК прекращается, снимается нагрузка с ТГ (ТГ выключается КАГ-24), и момент сопротивления ТГ (зависящий от нагрузки) падает почти до нуля. В этих условиях появляется опасность </w:t>
      </w:r>
      <w:proofErr w:type="spellStart"/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разгона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турбины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 обратным потоком пара 2-й ступени СПП через СРК в ЦВД (см. рис. 4.1).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Для исключения этого в конструкции СРК предусмотрены устройства, предотвращающие попадание греющего пара 2-й ступени СПП в проточную часть турбины при закрытии СРК. </w:t>
      </w:r>
      <w:proofErr w:type="gram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Кроме того, разгон турбины при срабатывании АЗ может произойти от воздействия (поступления в проточную часть турбины) обратного потока пара из трубопроводов (см. рис. 2.1): первого отбора на ПВД-7 и на 1-ю ступень СПП, второго отбора на ПВД-6, третьего отбора на КСН, подвода пара к ТПН от СПП, четвертого отбора на ПНД-4 и ППСВ, пятого 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lastRenderedPageBreak/>
        <w:t>отбора на ПНД-3 и ПСВ-2 ступени</w:t>
      </w:r>
      <w:proofErr w:type="gram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, шестого отбора на ПСВ-1-й ступени.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Для предотвращения разгона турбины обратным потоком пара на этих трубопроводах установлены обратные клапаны с сервомоторами, получающие принудительное воздействие на закрытие при отключении турбины или генератора.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Для предотвращения повреждения корпусов конденсаторов и выхлопных патрубков ЦНД, на выхлопных патрубках ЦНД установлены атмосферные клапаны – диафрагмы, которые открываются при повышении давления в конденсаторе турбины на 0,05 кгс/см</w:t>
      </w:r>
      <w:proofErr w:type="gramStart"/>
      <w:r w:rsidRPr="00655CFB">
        <w:rPr>
          <w:rFonts w:ascii="Verdana" w:eastAsia="Times New Roman" w:hAnsi="Verdana" w:cs="Times New Roman"/>
          <w:color w:val="302030"/>
          <w:sz w:val="28"/>
          <w:szCs w:val="28"/>
          <w:vertAlign w:val="superscript"/>
          <w:lang w:eastAsia="ru-RU"/>
        </w:rPr>
        <w:t>2</w:t>
      </w:r>
      <w:proofErr w:type="gram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 выше атмосферного. </w:t>
      </w:r>
      <w:proofErr w:type="gram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Большой объем ГК и выхлопных патрубков ЦВД (большая площадь поверхности их стенок), даже при малом увеличении давления в конденсаторе сверх атмосферного, может привести к их </w:t>
      </w:r>
      <w:proofErr w:type="spell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опрессовке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 (нарушению плотности, трещинам, разрыву).</w:t>
      </w:r>
      <w:proofErr w:type="gramEnd"/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Для исключения чрезмерного нагрева выхлопных патрубков ЦНД и их деформации, вызывающей усиление вибрации ТА, турбина оснащена устройством орошения выхлопных патрубков ЦНД. Орошение осуществляется подачей на выхлопные патрубки ЦНД конденсата из напора конденсатных насосов 2-й ступени и его распыления. Оно срабатывает во всех случаях повышения температуры выхлопных патрубков выше уровня, установленного ИЭ, например, при большом повышении давления в ГК или при моторном режиме работы турбины (см. [22]).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Технологические защиты турбины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можно условно разделить на две основные группы: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а) защиты, действующие на отключение турбины, с полным прекращением подачи пара в проточную часть турбины;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б) защиты, снижающие нагрузку турбины.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Защиты, действующие на отключение турбины, разделяют </w:t>
      </w:r>
      <w:proofErr w:type="gram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на</w:t>
      </w:r>
      <w:proofErr w:type="gram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: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· защиты со срывом вакуума в конденсаторах;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· защиты без срыва вакуума в конденсаторах.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Срыв вакуума в конденсаторах (ГТ, ТПН) необходим для быстрого останова (прекращения вращения) </w:t>
      </w:r>
      <w:proofErr w:type="spell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валопровода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 ТА, чтобы при определенных неисправностях (отклонениях параметров) не допустить большой аварии или 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lastRenderedPageBreak/>
        <w:t>минимизировать ее (предотвратить разрушение элементов турбины или генератора).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Срыв вакуума в конденсаторах ГТ и ТПН выполняется путем соединения паровой полости конденсаторов с атмосферой (с машинным залом). При этом происходит быстрый рост давления (до атмосферного), не только в паровой полости конденсаторов, но и в ступенях проточной части ЦНД, где, при нормальной работе турбины, давление меньше атмосферного. Повышение давления в проточной части ЦНД резко увеличивает плотность среды, в которой вращаются рабочие лопатки ЦНД, что приводит к увеличению вентиляционных потерь и уменьшает время вращения </w:t>
      </w:r>
      <w:proofErr w:type="spell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валопровода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 ТА. Срыв вакуума происходит при срабатывании аварийной защиты по ряду аварийных сигналов (отклонений параметров), рассмотренных ниже.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Защиты, снижающие нагрузку турбины, предназначены для [81]: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· предотвращения повреждений оборудования;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· обеспечения баланса между технологическими средствами различных систем ТО (ТЦ);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· приведения в соответствие мощности турбины и тепловой мощности ЯР, в случае отказа какого-либо оборудования ЭБ.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Срабатывание защит сопровождается световой и звуковой сигнализацией на БЩУ, с фиксацией в УВС первопричины срабатывания, а также основных параметров работы оборудования и положения арматуры за время 5 мин, предшествующее срабатыванию защиты [24].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Действие защит – одностороннее. Обратный ввод оборудования в работу производится вручную после устранения причин, вызвавших срабатывание защиты.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Перечень защит на останов турбины со срывом вакуума приведен в табл. 15.2 [24].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Таблица 15.2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6"/>
        <w:gridCol w:w="1584"/>
        <w:gridCol w:w="3015"/>
      </w:tblGrid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Исходное событие,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уставка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 срабатывания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Выдержка времени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Назначение защиты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1. Осевой сдвиг ротора: (+) 1,2 мм в </w:t>
            </w: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lastRenderedPageBreak/>
              <w:t>сторону генератора; (–) 2,0 мм в сторону регулятора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Защита проточной части </w:t>
            </w: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lastRenderedPageBreak/>
              <w:t>и упорного подшипника</w:t>
            </w:r>
          </w:p>
        </w:tc>
      </w:tr>
    </w:tbl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lastRenderedPageBreak/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i/>
          <w:iCs/>
          <w:color w:val="302030"/>
          <w:sz w:val="28"/>
          <w:szCs w:val="28"/>
          <w:lang w:eastAsia="ru-RU"/>
        </w:rPr>
        <w:t>Окончание табл. 15.2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3"/>
        <w:gridCol w:w="398"/>
        <w:gridCol w:w="4014"/>
      </w:tblGrid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2. Понижение давления масла в напорном коллекторе системы смазки на уровне оси турбины менее 0,5 кгс/см</w:t>
            </w:r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3с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Защита подшипников турбины и генератора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3. Отключение любых 2-х циркуляционных насосов ГК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Защита от недопустимого разогрева ЦНД и выхлопных патрубков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4. Понижение уровня масла в демпферном баке генератора системы УВГ до 2 предела (</w:t>
            </w:r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см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. п. 13.3)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20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Защита от повреждения уплотнений генератора и от утечки водорода из корпуса генератора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5. Повышение частоты вращения турбины более 12,5 % от номинальной (по давлению на напоре импеллера 8,6 кгс/см</w:t>
            </w:r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) при отключении КАГ-24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Защита проточной части турбины от разрушения при забросе оборотов (обычно, при отключении ЭГ КАГ-24).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Перевод ключа системы защиты от развития пожара (КЗРП) в положение «Пожар»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</w:t>
            </w:r>
          </w:p>
        </w:tc>
      </w:tr>
    </w:tbl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При срабатывании АЗ со срывом вакуума автоматически выполняются следующие операции: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а) закрываются: СК, РК, РЗ, ГПЗ, байпасы ГПЗ, арматура на подводе греющего пара ко 2-й ступени СПП, на 3-м отборе к КСН, на подводе пара к ТПН, на подводе пара ко всем ПСВ, на сливах из КС;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б) после закрытия всех СК ЦВД, отключается выключатель генератора КАГ-24;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в) вступает в работу один из клапанов БРУ-СН и регулятор давления в КСН, а при необходимости (например, возрастаний давления в ГПК) БРУ-А;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г) открываются задвижки подачи пара на ТПН-1,2 от КСН;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proofErr w:type="spell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д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) после отключения генератора от сети производится срыв вакуума в конденсаторах турбины, при этом: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· останавливаются основные и пусковые эжекторы, с запретом включения;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· прекращается подача пара на концевые уплотнения;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lastRenderedPageBreak/>
        <w:t>е) подается команда на закрытие всех источников подачи пара и горячего конденсата в конденсаторы с запретом их открытия.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Информация об условиях возникновения сигнала срабатывания защит, действующих на останов турбины без срыва вакуума, представлена в табл. 15.3 [24].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Перечень защит, приводящих к разгрузке турбины, приведен в табл. 15.4 [24].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Таблица 15.3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4"/>
        <w:gridCol w:w="2006"/>
        <w:gridCol w:w="3106"/>
        <w:gridCol w:w="179"/>
      </w:tblGrid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Исходное событие,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уставка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 срабатывания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Выдержка времени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Назначение защиты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1. Повышение уровня в ПНД-2 до 2-го предела (1334 мм)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5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От заброса влаги в проточную часть турбины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2. Повышение уровня в ПНД-3 до 2-го предела (2415 мм)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40 с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откл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. труб, 180 </w:t>
            </w:r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с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 – при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откл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. ВНВ-750 (режим СН)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От заброса влаги в проточную часть турбины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3. Повышение уровня в ПНД-4 до 2-го предела (2415 мм) и в ПНД-1 до 2-го предела (1450 мм)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4 с 5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От заброса влаги в проточную часть турбины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4. Повышение давления в ГК до 0,23 кгс/см</w:t>
            </w:r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(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абс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От разогрева ЦНД и выхлопных патрубков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5. Внутреннее повреждение генератора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Защита генератора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6. Отключение генератора КАГ-24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Защита ТГ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7. Повышение уровня в ПВД до 2-го предела (5440 мм)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5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От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опрессовки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 корпуса ПВД питательной водой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8. Понижение давления пара перед ГПЗ (до 51 кгс/см</w:t>
            </w:r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). Авт. ввод при давлении более 54 кгс/см</w:t>
            </w:r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и открытой любой ГПЗ. Вывод – после закрытия всех ГПЗ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Вероятность заброса влаги в проточную часть ЦВД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9. Закрытие 2-х заслонок любого ЦНД при незакрытом хотя бы одном сервомоторе 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1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Предотвращение повышения давления в СПП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10. Закрытие 3-х заслонок одной стороны ЦНД при незакрытом хотя бы одном сервомоторе 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1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Предотвращение повышения давления в СПП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11. Повышение давления в выхлопном патрубке ЦВД к СПП более 13 кгс/см</w:t>
            </w:r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Предотвращение повышения давления в СПП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12. Повышение уровня в ПГ более 620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Предотвращение заброса влаги в проточную часть ЦВД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lastRenderedPageBreak/>
              <w:t>13. Понижение давления масла за МФ ВД АСРЗ менее 15 кгс/см</w:t>
            </w:r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или за МФ НД менее 10 кгс/см</w:t>
            </w: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Предотвращение самопроизвольного закрытия СРК и заслонок ЦНД.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14. Отличие положения ГСМ более 30 % номинального хода при работе на «ЭГСР»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Предотвращение повреждения СРК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15. Понижение расхода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охл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. воды через обмотку статора ТГ менее 140 м</w:t>
            </w: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perscript"/>
                <w:lang w:eastAsia="ru-RU"/>
              </w:rPr>
              <w:t>3</w:t>
            </w: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120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Предотвращение перегрева обмотки статора генератора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</w:t>
            </w:r>
          </w:p>
        </w:tc>
      </w:tr>
    </w:tbl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i/>
          <w:iCs/>
          <w:color w:val="302030"/>
          <w:sz w:val="28"/>
          <w:szCs w:val="28"/>
          <w:lang w:eastAsia="ru-RU"/>
        </w:rPr>
        <w:t>Окончание табл. 15.3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9"/>
        <w:gridCol w:w="529"/>
        <w:gridCol w:w="2878"/>
        <w:gridCol w:w="179"/>
      </w:tblGrid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16. Понижение расхода воды в контуре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газоохладителей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 генератора менее 660 м</w:t>
            </w: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perscript"/>
                <w:lang w:eastAsia="ru-RU"/>
              </w:rPr>
              <w:t>3</w:t>
            </w: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/ч. Ввод защиты – при включении насоса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охл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. воды. Вывод – закрытие любых 2-х СК с разных сторон ЦВД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300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Предотвращение разогрева газа и ротора генератора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17. Несоответствие положения СК и РК турбины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Защита от разгона турбины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18. Отключение последнего ТПН.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Автом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. ввод при включении любого ТПН. Вывод – при отключении турбины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Опережающая защита по снижению уровня в ПГ 1-4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19. Повышение уровня в деаэраторах № 1, 2 до 3-го предела - 3060 мм (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бл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. 5,6)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Защита деаэратора.</w:t>
            </w:r>
          </w:p>
        </w:tc>
      </w:tr>
      <w:tr w:rsidR="00655CFB" w:rsidRPr="00655CFB" w:rsidTr="00655CFB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20. Повышение частоты вращения турбины до срабатывания бойков АБ (обеспечивается АСРЗ)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Предотвращение повреждения проточной части турбины.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</w:t>
            </w:r>
          </w:p>
        </w:tc>
      </w:tr>
    </w:tbl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Таблица 15.4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6"/>
        <w:gridCol w:w="1476"/>
        <w:gridCol w:w="3683"/>
      </w:tblGrid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Исходное событие,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уставка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 срабатывания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Выдержка времени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Воздействие на турбину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1. Отключение одного КЭН-1 из 2-х и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невключение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 резерва при нагрузке ТГ более 40 % </w:t>
            </w:r>
            <w:proofErr w:type="spellStart"/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N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bscript"/>
                <w:lang w:eastAsia="ru-RU"/>
              </w:rPr>
              <w:t>ном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40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Разгрузка ТГ до 40 % </w:t>
            </w:r>
            <w:proofErr w:type="spellStart"/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N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bscript"/>
                <w:lang w:eastAsia="ru-RU"/>
              </w:rPr>
              <w:t>ном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(по давлению за СРК) от ЭГСР или от МУТ ГСР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2. Отключение одного КЭН-2 и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невключение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 резерва при нагрузке ТГ более 40 % </w:t>
            </w:r>
            <w:proofErr w:type="spellStart"/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N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bscript"/>
                <w:lang w:eastAsia="ru-RU"/>
              </w:rPr>
              <w:t>ном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40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Разгрузка ТГ до 40% </w:t>
            </w:r>
            <w:proofErr w:type="spellStart"/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N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bscript"/>
                <w:lang w:eastAsia="ru-RU"/>
              </w:rPr>
              <w:t>ном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(по давлению за СРК) от ЭГСР или воздействия на МУТ ГСР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3. Отключение одного из 2-х </w:t>
            </w:r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работающих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 ТПН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Разгрузка ТГ до 50 % </w:t>
            </w:r>
            <w:proofErr w:type="spellStart"/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N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bscript"/>
                <w:lang w:eastAsia="ru-RU"/>
              </w:rPr>
              <w:t>ном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(по давлению за СРК) от ЭГСР или воздействия на МУТ ГСР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lastRenderedPageBreak/>
              <w:t>4. Отключение одного циркуляционного насоса из 3-х работающих (</w:t>
            </w:r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см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. примечание)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12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Разгрузка ТГ до 60 % </w:t>
            </w:r>
            <w:proofErr w:type="spellStart"/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N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bscript"/>
                <w:lang w:eastAsia="ru-RU"/>
              </w:rPr>
              <w:t>ном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(по давлению за СРК) от ЭГСР или воздействия на МУТ ГСР</w:t>
            </w:r>
          </w:p>
        </w:tc>
      </w:tr>
      <w:tr w:rsidR="00655CFB" w:rsidRPr="00655CFB" w:rsidTr="00655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5. Начало открытия задвижки слива </w:t>
            </w:r>
            <w:proofErr w:type="spell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сепарата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 в РБ-9 при нагрузке 70 % </w:t>
            </w:r>
            <w:proofErr w:type="spellStart"/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N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bscript"/>
                <w:lang w:eastAsia="ru-RU"/>
              </w:rPr>
              <w:t>ном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55CFB" w:rsidRPr="00655CFB" w:rsidRDefault="00655CFB" w:rsidP="00655CFB">
            <w:pPr>
              <w:spacing w:after="0" w:line="240" w:lineRule="auto"/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</w:pPr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 xml:space="preserve">Разгрузка ТГ до 70 % </w:t>
            </w:r>
            <w:proofErr w:type="spellStart"/>
            <w:proofErr w:type="gramStart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N</w:t>
            </w:r>
            <w:proofErr w:type="gram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vertAlign w:val="subscript"/>
                <w:lang w:eastAsia="ru-RU"/>
              </w:rPr>
              <w:t>ном</w:t>
            </w:r>
            <w:proofErr w:type="spellEnd"/>
            <w:r w:rsidRPr="00655CFB">
              <w:rPr>
                <w:rFonts w:ascii="Verdana" w:eastAsia="Times New Roman" w:hAnsi="Verdana" w:cs="Times New Roman"/>
                <w:color w:val="202521"/>
                <w:sz w:val="21"/>
                <w:szCs w:val="21"/>
                <w:lang w:eastAsia="ru-RU"/>
              </w:rPr>
              <w:t> (по давлению за СРК) от ЭГСР или от МУТ ГСР</w:t>
            </w:r>
          </w:p>
        </w:tc>
      </w:tr>
    </w:tbl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</w:t>
      </w:r>
    </w:p>
    <w:p w:rsid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proofErr w:type="spellStart"/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Примечание</w:t>
      </w:r>
      <w:proofErr w:type="gramStart"/>
      <w:r w:rsidRPr="00655CFB"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.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П</w:t>
      </w:r>
      <w:proofErr w:type="gram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ри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 отключении одного из работающих циркуляционных насосов ТГ разгружается до 600 МВт, а после стабилизации режима работы блока ТГ разгружается (нагружается) до </w:t>
      </w:r>
      <w:proofErr w:type="spell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N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vertAlign w:val="subscript"/>
          <w:lang w:eastAsia="ru-RU"/>
        </w:rPr>
        <w:t>э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, при которой давление в конденсаторах будет не более 0,12 кгс/см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vertAlign w:val="superscript"/>
          <w:lang w:eastAsia="ru-RU"/>
        </w:rPr>
        <w:t>2</w:t>
      </w:r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(</w:t>
      </w:r>
      <w:proofErr w:type="spellStart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абс</w:t>
      </w:r>
      <w:proofErr w:type="spellEnd"/>
      <w:r w:rsidRPr="00655CFB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).</w:t>
      </w:r>
    </w:p>
    <w:p w:rsid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302030"/>
          <w:sz w:val="28"/>
          <w:lang w:eastAsia="ru-RU"/>
        </w:rPr>
        <w:t>Задание:</w:t>
      </w:r>
    </w:p>
    <w:p w:rsid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1.Написать конспект лекции.</w:t>
      </w:r>
    </w:p>
    <w:p w:rsidR="00655CFB" w:rsidRPr="00655CFB" w:rsidRDefault="00655CFB" w:rsidP="00655CFB">
      <w:pPr>
        <w:shd w:val="clear" w:color="auto" w:fill="F0F0F0"/>
        <w:spacing w:before="63" w:after="63" w:line="240" w:lineRule="auto"/>
        <w:ind w:left="188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2.Выписать защиты действующие на останов турбины</w:t>
      </w:r>
    </w:p>
    <w:p w:rsidR="005426D3" w:rsidRDefault="005426D3">
      <w:pPr>
        <w:rPr>
          <w:sz w:val="28"/>
          <w:szCs w:val="28"/>
        </w:rPr>
      </w:pPr>
    </w:p>
    <w:p w:rsidR="00655CFB" w:rsidRPr="00655CFB" w:rsidRDefault="00655CFB">
      <w:pPr>
        <w:rPr>
          <w:sz w:val="28"/>
          <w:szCs w:val="28"/>
        </w:rPr>
      </w:pPr>
    </w:p>
    <w:sectPr w:rsidR="00655CFB" w:rsidRPr="00655CFB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55CFB"/>
    <w:rsid w:val="00004EFB"/>
    <w:rsid w:val="0001657D"/>
    <w:rsid w:val="0002437B"/>
    <w:rsid w:val="00026F6F"/>
    <w:rsid w:val="0003490B"/>
    <w:rsid w:val="00043E77"/>
    <w:rsid w:val="00045318"/>
    <w:rsid w:val="000634D2"/>
    <w:rsid w:val="000636AE"/>
    <w:rsid w:val="00065CF2"/>
    <w:rsid w:val="0007416B"/>
    <w:rsid w:val="000761B2"/>
    <w:rsid w:val="00076E05"/>
    <w:rsid w:val="00082FAA"/>
    <w:rsid w:val="0009086D"/>
    <w:rsid w:val="00090C5F"/>
    <w:rsid w:val="0009636A"/>
    <w:rsid w:val="000C447F"/>
    <w:rsid w:val="000C6A27"/>
    <w:rsid w:val="000D33C0"/>
    <w:rsid w:val="000D3B40"/>
    <w:rsid w:val="000E13A7"/>
    <w:rsid w:val="000E4E04"/>
    <w:rsid w:val="000E51D0"/>
    <w:rsid w:val="000E7E31"/>
    <w:rsid w:val="000F61C3"/>
    <w:rsid w:val="00104333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D5163"/>
    <w:rsid w:val="001E1062"/>
    <w:rsid w:val="001E2628"/>
    <w:rsid w:val="001E5ED4"/>
    <w:rsid w:val="001F26C2"/>
    <w:rsid w:val="001F4D1E"/>
    <w:rsid w:val="002011F3"/>
    <w:rsid w:val="002012A9"/>
    <w:rsid w:val="00212C11"/>
    <w:rsid w:val="002158AE"/>
    <w:rsid w:val="00224ACF"/>
    <w:rsid w:val="00234DCE"/>
    <w:rsid w:val="002428A9"/>
    <w:rsid w:val="00246EFE"/>
    <w:rsid w:val="0025368F"/>
    <w:rsid w:val="0026134E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9CD"/>
    <w:rsid w:val="002C353C"/>
    <w:rsid w:val="002C4EA9"/>
    <w:rsid w:val="002D2842"/>
    <w:rsid w:val="002E1E74"/>
    <w:rsid w:val="002E4B9B"/>
    <w:rsid w:val="002E7AAD"/>
    <w:rsid w:val="002F228E"/>
    <w:rsid w:val="002F783D"/>
    <w:rsid w:val="00304D56"/>
    <w:rsid w:val="00313031"/>
    <w:rsid w:val="003250A7"/>
    <w:rsid w:val="0034096C"/>
    <w:rsid w:val="00341484"/>
    <w:rsid w:val="00345AA3"/>
    <w:rsid w:val="00350BAC"/>
    <w:rsid w:val="00361389"/>
    <w:rsid w:val="0036326C"/>
    <w:rsid w:val="00364608"/>
    <w:rsid w:val="00371310"/>
    <w:rsid w:val="00375038"/>
    <w:rsid w:val="003818E9"/>
    <w:rsid w:val="00383039"/>
    <w:rsid w:val="00395271"/>
    <w:rsid w:val="003B33FD"/>
    <w:rsid w:val="003B41BD"/>
    <w:rsid w:val="003B5104"/>
    <w:rsid w:val="003C256F"/>
    <w:rsid w:val="003C31A0"/>
    <w:rsid w:val="003E7661"/>
    <w:rsid w:val="003F2A7F"/>
    <w:rsid w:val="00407683"/>
    <w:rsid w:val="00414F7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B3C41"/>
    <w:rsid w:val="005077BF"/>
    <w:rsid w:val="00532CFE"/>
    <w:rsid w:val="005349A0"/>
    <w:rsid w:val="005426D3"/>
    <w:rsid w:val="005615AD"/>
    <w:rsid w:val="00563B58"/>
    <w:rsid w:val="00567D38"/>
    <w:rsid w:val="00571249"/>
    <w:rsid w:val="0058173F"/>
    <w:rsid w:val="00582675"/>
    <w:rsid w:val="00584CD7"/>
    <w:rsid w:val="00592985"/>
    <w:rsid w:val="00593781"/>
    <w:rsid w:val="005A2643"/>
    <w:rsid w:val="005A2F1F"/>
    <w:rsid w:val="005B54E9"/>
    <w:rsid w:val="005C467A"/>
    <w:rsid w:val="005D2817"/>
    <w:rsid w:val="005E6736"/>
    <w:rsid w:val="005F4EA8"/>
    <w:rsid w:val="005F5B57"/>
    <w:rsid w:val="005F6498"/>
    <w:rsid w:val="00605B92"/>
    <w:rsid w:val="006103BE"/>
    <w:rsid w:val="00621C96"/>
    <w:rsid w:val="0062639C"/>
    <w:rsid w:val="00634C17"/>
    <w:rsid w:val="00634F86"/>
    <w:rsid w:val="00636C63"/>
    <w:rsid w:val="00637675"/>
    <w:rsid w:val="00645342"/>
    <w:rsid w:val="00645861"/>
    <w:rsid w:val="00650C36"/>
    <w:rsid w:val="00655CFB"/>
    <w:rsid w:val="00661313"/>
    <w:rsid w:val="006700B3"/>
    <w:rsid w:val="00671B5C"/>
    <w:rsid w:val="00672920"/>
    <w:rsid w:val="006879D1"/>
    <w:rsid w:val="00695A52"/>
    <w:rsid w:val="006A2015"/>
    <w:rsid w:val="006A3FCE"/>
    <w:rsid w:val="006A5CC2"/>
    <w:rsid w:val="006B6674"/>
    <w:rsid w:val="006D22B2"/>
    <w:rsid w:val="006E3430"/>
    <w:rsid w:val="006F5CA7"/>
    <w:rsid w:val="007046FF"/>
    <w:rsid w:val="007130A4"/>
    <w:rsid w:val="007313C1"/>
    <w:rsid w:val="007364A0"/>
    <w:rsid w:val="00740F91"/>
    <w:rsid w:val="007426F2"/>
    <w:rsid w:val="00757E2E"/>
    <w:rsid w:val="00760EA0"/>
    <w:rsid w:val="00773E74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6968"/>
    <w:rsid w:val="00805937"/>
    <w:rsid w:val="00830C30"/>
    <w:rsid w:val="00833A1E"/>
    <w:rsid w:val="008365F7"/>
    <w:rsid w:val="00841263"/>
    <w:rsid w:val="0085339E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DE4"/>
    <w:rsid w:val="008C6B34"/>
    <w:rsid w:val="008F32CD"/>
    <w:rsid w:val="008F44C6"/>
    <w:rsid w:val="00911DE2"/>
    <w:rsid w:val="00921E57"/>
    <w:rsid w:val="00927A60"/>
    <w:rsid w:val="00936009"/>
    <w:rsid w:val="009406E4"/>
    <w:rsid w:val="00946629"/>
    <w:rsid w:val="00960666"/>
    <w:rsid w:val="00963593"/>
    <w:rsid w:val="00977A15"/>
    <w:rsid w:val="00992DDE"/>
    <w:rsid w:val="009946E0"/>
    <w:rsid w:val="00997D9F"/>
    <w:rsid w:val="009A6211"/>
    <w:rsid w:val="009A71DD"/>
    <w:rsid w:val="009B1EA9"/>
    <w:rsid w:val="009B379F"/>
    <w:rsid w:val="009C2BC7"/>
    <w:rsid w:val="009E2820"/>
    <w:rsid w:val="009F65A0"/>
    <w:rsid w:val="00A039EE"/>
    <w:rsid w:val="00A14C2D"/>
    <w:rsid w:val="00A35191"/>
    <w:rsid w:val="00A40BB3"/>
    <w:rsid w:val="00A40E67"/>
    <w:rsid w:val="00A41452"/>
    <w:rsid w:val="00A626E5"/>
    <w:rsid w:val="00A62FAF"/>
    <w:rsid w:val="00A65269"/>
    <w:rsid w:val="00A73767"/>
    <w:rsid w:val="00A8110A"/>
    <w:rsid w:val="00A82A5D"/>
    <w:rsid w:val="00A8303F"/>
    <w:rsid w:val="00A8793A"/>
    <w:rsid w:val="00A917BA"/>
    <w:rsid w:val="00AA3E67"/>
    <w:rsid w:val="00AA44B0"/>
    <w:rsid w:val="00AB4A31"/>
    <w:rsid w:val="00AC0C7D"/>
    <w:rsid w:val="00AD64A8"/>
    <w:rsid w:val="00AD6969"/>
    <w:rsid w:val="00AF0FF2"/>
    <w:rsid w:val="00B0058C"/>
    <w:rsid w:val="00B1413E"/>
    <w:rsid w:val="00B25019"/>
    <w:rsid w:val="00B31913"/>
    <w:rsid w:val="00B326F9"/>
    <w:rsid w:val="00B36DAD"/>
    <w:rsid w:val="00B6062E"/>
    <w:rsid w:val="00B62673"/>
    <w:rsid w:val="00B6531E"/>
    <w:rsid w:val="00B72336"/>
    <w:rsid w:val="00B758BF"/>
    <w:rsid w:val="00B772F9"/>
    <w:rsid w:val="00B830D5"/>
    <w:rsid w:val="00B8634E"/>
    <w:rsid w:val="00B90C89"/>
    <w:rsid w:val="00BA4816"/>
    <w:rsid w:val="00BB2799"/>
    <w:rsid w:val="00BB76A0"/>
    <w:rsid w:val="00BC1987"/>
    <w:rsid w:val="00BC4F3C"/>
    <w:rsid w:val="00BC57F3"/>
    <w:rsid w:val="00C04868"/>
    <w:rsid w:val="00C05129"/>
    <w:rsid w:val="00C13C36"/>
    <w:rsid w:val="00C22E87"/>
    <w:rsid w:val="00C27C49"/>
    <w:rsid w:val="00C33194"/>
    <w:rsid w:val="00C3334B"/>
    <w:rsid w:val="00C451B1"/>
    <w:rsid w:val="00C73CC3"/>
    <w:rsid w:val="00C741F7"/>
    <w:rsid w:val="00C81588"/>
    <w:rsid w:val="00C8710E"/>
    <w:rsid w:val="00C902DE"/>
    <w:rsid w:val="00C9091D"/>
    <w:rsid w:val="00C94E0D"/>
    <w:rsid w:val="00CA7D48"/>
    <w:rsid w:val="00CC4EC4"/>
    <w:rsid w:val="00CC5C9C"/>
    <w:rsid w:val="00CC759C"/>
    <w:rsid w:val="00CD0EA6"/>
    <w:rsid w:val="00CF1B5B"/>
    <w:rsid w:val="00CF68FF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6293"/>
    <w:rsid w:val="00D80AAF"/>
    <w:rsid w:val="00D92BF0"/>
    <w:rsid w:val="00DC45FC"/>
    <w:rsid w:val="00DC529B"/>
    <w:rsid w:val="00DE641A"/>
    <w:rsid w:val="00DF69A2"/>
    <w:rsid w:val="00E006C9"/>
    <w:rsid w:val="00E029EA"/>
    <w:rsid w:val="00E03392"/>
    <w:rsid w:val="00E047AF"/>
    <w:rsid w:val="00E067FA"/>
    <w:rsid w:val="00E20F4F"/>
    <w:rsid w:val="00E22F76"/>
    <w:rsid w:val="00E54DF4"/>
    <w:rsid w:val="00E7109F"/>
    <w:rsid w:val="00E74F9C"/>
    <w:rsid w:val="00E75824"/>
    <w:rsid w:val="00E76695"/>
    <w:rsid w:val="00E80241"/>
    <w:rsid w:val="00E84930"/>
    <w:rsid w:val="00E85085"/>
    <w:rsid w:val="00EA196C"/>
    <w:rsid w:val="00EA73BA"/>
    <w:rsid w:val="00EB507A"/>
    <w:rsid w:val="00EB55AC"/>
    <w:rsid w:val="00EC6AD8"/>
    <w:rsid w:val="00EE011F"/>
    <w:rsid w:val="00F02604"/>
    <w:rsid w:val="00F13F04"/>
    <w:rsid w:val="00F13F0D"/>
    <w:rsid w:val="00F2116E"/>
    <w:rsid w:val="00F23C2D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C5FF3"/>
    <w:rsid w:val="00FD3324"/>
    <w:rsid w:val="00FD45E6"/>
    <w:rsid w:val="00FE2AF0"/>
    <w:rsid w:val="00FE5E4E"/>
    <w:rsid w:val="00FE7162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link w:val="10"/>
    <w:uiPriority w:val="9"/>
    <w:qFormat/>
    <w:rsid w:val="00655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5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4e659cda">
    <w:name w:val="n4e659cda"/>
    <w:basedOn w:val="a"/>
    <w:rsid w:val="0065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fb70482c">
    <w:name w:val="yfb70482c"/>
    <w:basedOn w:val="a"/>
    <w:rsid w:val="0065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C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5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29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362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6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0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4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3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1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24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5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04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1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07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77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3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051146">
                                              <w:marLeft w:val="9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797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3304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5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1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0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0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83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0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44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1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781987">
                                              <w:marLeft w:val="9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1894</Words>
  <Characters>10796</Characters>
  <Application>Microsoft Office Word</Application>
  <DocSecurity>0</DocSecurity>
  <Lines>89</Lines>
  <Paragraphs>25</Paragraphs>
  <ScaleCrop>false</ScaleCrop>
  <Company/>
  <LinksUpToDate>false</LinksUpToDate>
  <CharactersWithSpaces>12665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2021-06-17T01:43:00Z</dcterms:created>
  <dcterms:modified xsi:type="dcterms:W3CDTF">2021-06-17T01:54:00Z</dcterms:modified>
</cp:coreProperties>
</file>