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6FA9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Основы безопасности жизнедеятельности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31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января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202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год</w:t>
      </w:r>
    </w:p>
    <w:p>
      <w:pPr>
        <w:tabs>
          <w:tab w:val="left" w:pos="9656" w:leader="none"/>
        </w:tabs>
        <w:spacing w:lineRule="auto" w:line="240" w:before="100" w:after="300" w:beforeAutospacing="0" w:afterAutospacing="0"/>
        <w:ind w:right="-1016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гр.МД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21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Организация проведения аварийно-спасательных и других неотложных работ в зоне чрезвычайной ситуации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Перечень вопросов, рассматриваемых в теме: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Аварийно-спасательные работы.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Неотложные работы при ликвидации ЧС.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Поражающие факторы чрезвычайных ситуаций.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Правила безопасного поведения в чрезвычайных ситуациях.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 по теме: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Аварийно-спасательные работы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действия по спасению людей, материальных и культурных ценностей, защите природной среды в зоне чрезвычайных ситуаций (ЧС), локализации ЧС и подавлению или доведению до минимального возможного уровня, воздействия характерных для них опасных факторах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Неотложные работы при ликвидации чрезвычайных ситуаций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—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1" w:name="_30J0ZLL"/>
      <w:bookmarkEnd w:id="1"/>
      <w:r>
        <w:rPr>
          <w:rFonts w:ascii="Times New Roman" w:hAnsi="Times New Roman"/>
          <w:b w:val="1"/>
          <w:color w:val="1D1D1B"/>
          <w:sz w:val="28"/>
          <w:shd w:val="clear" w:fill="FFFFFF"/>
        </w:rPr>
        <w:t>Поражающий фактор источника ЧС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— составляющая опасного явления или процесса физического, химического или биологического (бактериального) характера, вызываемого источником ЧС и приводящего к поражению людей, сельскохозяйственных животных и растений, хозяйственных и иных объектов, элементов окружающей природной среды.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и дополнительная литература по теме урока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А.Т., Хренников Б.О. Основы безопасности жизнедеятельности. 10 класс: учеб. для общеобразоват. организаций: базовый и профильный уровни уровень. М.: Просвещение, 2018. 304 с. (страницы 184-192)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Смирнов А.Т. Основы безопасности жизнедеятельности. 10-11 классы: Сборник ситуативных задач. 10-11 кл. М.: Просвещение, 2016. 128 с.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Тетрадь для оценки качества знаний. 11 класс. Базовый уровень. М.: Дрофа, 2018. 80 с.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Латчук В.Н., Миронов С.К. Основы безопасности жизнедеятельности. Рабочая тетрадь для любого учебника. 10 класс. Базовый уровень. М.: Дрофа. 2018, 64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внутренних дел Российской Федерации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"about:blank"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https://мвд.рф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numPr>
          <w:ilvl w:val="0"/>
          <w:numId w:val="4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Официальный сайт министерства Российской Федерации по делам гражданской обороны, чрезвычайным ситуациям и ликвидации последствий стихийных бедствий -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"http://www.mchs.gov.ru/"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http://www.mchs.gov.ru/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изучения:</w:t>
      </w:r>
    </w:p>
    <w:p>
      <w:pPr>
        <w:spacing w:before="75" w:after="150" w:beforeAutospacing="0" w:afterAutospacing="0"/>
        <w:ind w:firstLine="0" w:left="0" w:right="0"/>
        <w:jc w:val="center"/>
        <w:outlineLvl w:val="2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2" w:name="_G9OQM9WXF0V5"/>
      <w:bookmarkEnd w:id="2"/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Противорадиационные укрытия (ПРУ) устраивают так, чтобы коэффициент защиты их был наибольшим. Они оборудуются прежде всего в подвальных этажах зданий и сооружений. Подвалы в деревянных домах ослабляют радиацию в 7-12 раз, в каменных зданиях - в 200-300 раз, а средняя часть подвала каменного здания в несколько этажей – в 500-1000 раз. Под ПРУ могут быть использованы также наземные этажи зданий и сооружений, наиболее пригодны для этого внутренние помещения каменных зданий с капитальными стенами и небольшой площадью проёмов. Первые этажи двухэтажных каменных зданий ослабляют радиацию в 5-7 раз. В сельской местности особое внимание должно уделяться использованию под ПРУ погребов, находящихся в личном пользовании, а также овощехранилищ.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В целях усиления защитных свойств помещений, используемых под ПРУ, их следует соответствующим образом дооборудовать.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Для повышения защитных свойств в помещении заделывают оконные и лишние дверные проёмы, насыпают слой грунта на перекрытие и делают, если нужно, грунтовую подсыпку снаружи у стен, выступающих выше поверхности земли. Герметизация помещений достигается тщательной заделкой трещин, щелей и отверстий в стенах и потолке, в местах примыкания оконных и дверных проёмов, стыков отопительных и водопроводных труб; подгонкой дверей и обивкой их войлоком с уплотнением притвора валиком из войлока или другой мягкой плотной ткани.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Дооборудование подвальных этажей и внутренних помещений зданий повышает их защитные свойства в несколько раз. Так, коэффициент защиты оборудованных подвалов деревянных домов повышается примерно до 100, каменных домов - до 800-1000. Необорудованные погреба ослабляют радиацию в 7-12 раз, а оборудованные - в 350-400 раз.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Что входит в аптечку индивидуальную (АИ-2):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1 - для шприц-тюбика со специальным противоболевым средством.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2 - в пенале красного цвета б таблеток антидота против отравляющих веществ.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Как профилактическое средство принимают по 1 таблетке, а при появлении первых признаков отравления принимают ещё одну таблетку.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3 - в удлинённом пенале противобиологическое средство № 2, всего 15 таблеток, которые принимают после радиационного облучения при желудочно-кишечных расстройствах: 7 таблеток на приём в первые сутки и по 4 таблетки на приём ежедневно в течение последующих двух суток.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Противобиологическое средство № 2 принимают с целью профилактики инфекционных осложнений, которые могут возникнуть в связи с ослаблением защитных свойств облучённого организма.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4-в двух пеналах розового цвета, закрытых белой крышкой, радиозащитное средство № 1, всего 12 таблеток. Принимают одновременно б таблеток за 30-60 мин до начала облучения по сигналу оповещения «Радиационная опасность» или по указанию работников ГО с целью профилактики радиационного поражения.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Повторный приём 6 таблеток допускается через 4-5 ч в случае нахождения на территории, заражённой радиоактивными веществами.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5 - в двух пеналах без окраски противобиологическое средство № 1, всего 10 таблеток. Принимают как средство экстренной профилактики при угрозе заражения биологическими средствами или при заражении ими, при ранениях и ожогах по 5 таблеток на приём с промежутком между первым и вторым приёмами б ч.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6 - в пенале белого цвета радиозащитное средство № 2, всего 10 таблеток. Принимают по 1 таблетке ежедневно в течение 10 дней в тех случаях, когда употребляют в пищу молоко от коров, пасущихся на заражённой радиоактивными веществами местности.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Гнездо № 7 — в пенале голубого цвета противорвотное средство, всего 5 таблеток. Принимают по 1 таблетке при ушибах головы, сотрясениях и контузиях, при первичной лучевой реакции с целью предупреждения рвоты.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Медицинские средства из аптечки индивидуальной детям до 8 лет на один приём дают1/4, а детям от 8 до 15 лет- 1/2 дозы взрослого, кроме радиозащитного средства № 2, которое дают в полной дозе.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Аварийно-спасательные работы – это действия по спасению людей, материальных и культурных ценностей, защите природной среды в зоне чрезвычайных ситуаций (ЧС), локализации ЧС и подавлению или доведению до минимального возможного уровня, воздействия характерных для них опасных факторах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Неотложные работы при ликвидации чрезвычайных ситуаций —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>
      <w:pP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Поражающий фактор источника ЧС — составляющая опасного явления или процесса физического, химического или биологического (бактериального) характера, вызываемого источником ЧС и приводящего к поражению людей, сельскохозяйственных животных и растений, хозяйственных и иных объектов, элементов окружающей природной среды.</w:t>
      </w:r>
    </w:p>
    <w:p>
      <w:pPr>
        <w:rPr>
          <w:rFonts w:ascii="Times New Roman" w:hAnsi="Times New Roman"/>
          <w:b w:val="0"/>
          <w:i w:val="0"/>
          <w:color w:val="C00000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C00000"/>
          <w:sz w:val="28"/>
          <w:shd w:val="clear" w:fill="FFFFFF"/>
        </w:rPr>
        <w:t>КОНСПЕКТ</w:t>
      </w:r>
    </w:p>
    <w:p>
      <w:pPr>
        <w:jc w:val="center"/>
        <w:rPr>
          <w:rFonts w:ascii="Times New Roman" w:hAnsi="Times New Roman"/>
          <w:b w:val="1"/>
          <w:i w:val="0"/>
          <w:color w:val="000000"/>
          <w:sz w:val="32"/>
          <w:shd w:val="clear" w:fill="FFFFFF"/>
        </w:rPr>
      </w:pPr>
      <w:r>
        <w:rPr>
          <w:rFonts w:ascii="Times New Roman" w:hAnsi="Times New Roman"/>
          <w:b w:val="1"/>
          <w:i w:val="0"/>
          <w:color w:val="000000"/>
          <w:sz w:val="32"/>
          <w:shd w:val="clear" w:fill="FFFFFF"/>
        </w:rPr>
        <w:t>Контрольные задания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robotolight" w:hAnsi="robotolight"/>
          <w:b w:val="1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1. Поражающее воздействие чрезвычайной ситуации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robotolight" w:hAnsi="robotolight"/>
          <w:b w:val="0"/>
          <w:i w:val="0"/>
          <w:color w:val="1D1D1B"/>
          <w:sz w:val="39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39"/>
          <w:shd w:val="clear" w:fill="FFFFFF"/>
        </w:rPr>
        <w:t>Заполните пропуски:</w:t>
      </w:r>
    </w:p>
    <w:p>
      <w:pPr>
        <w:jc w:val="left"/>
        <w:rPr>
          <w:rFonts w:ascii="robotoregular" w:hAnsi="robotoregular"/>
          <w:b w:val="0"/>
          <w:i w:val="0"/>
          <w:color w:val="1D1D1B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1D1D1B"/>
          <w:sz w:val="30"/>
          <w:shd w:val="clear" w:fill="FFFFFF"/>
        </w:rPr>
        <w:t>Поражающее воздействие чрезвычайной ситуации – это____________  влияние одного или совокупности поражающих факторов ЧС на______________  и здоровье людей, сельскохозяйственных животных и растения, объекты______________________  и окружающую среду.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robotolight" w:hAnsi="robotolight"/>
          <w:b w:val="1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2. Поражающие факторы физического и химического действия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robotolight" w:hAnsi="robotolight"/>
          <w:b w:val="0"/>
          <w:i w:val="0"/>
          <w:color w:val="1D1D1B"/>
          <w:sz w:val="28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28"/>
          <w:shd w:val="clear" w:fill="FFFFFF"/>
        </w:rPr>
        <w:t>Выделите красным цветом те поражающие факторы, которые относятся к физическому действию, а зеленым цветом – те, которые относятся к химическому действию: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Воздушную ударную волну.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Волну сжатия в грунте.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Сейсмовзрывную волну.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Токсическое действие опасных химических веществ.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Волну прорыва гидротехнических сооружений.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Обломки или осколки.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Экстремальный нагрев среды.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Тепловое излучение.</w:t>
      </w:r>
    </w:p>
    <w:p>
      <w:pPr>
        <w:numPr>
          <w:ilvl w:val="0"/>
          <w:numId w:val="5"/>
        </w:numPr>
        <w:spacing w:before="0" w:after="0" w:beforeAutospacing="0" w:afterAutospacing="0"/>
        <w:ind w:hanging="36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262626"/>
          <w:sz w:val="30"/>
          <w:shd w:val="clear" w:fill="FFFFFF"/>
        </w:rPr>
        <w:t>Ионизирующее излучение.</w:t>
      </w:r>
    </w:p>
    <w:p>
      <w:pPr>
        <w:spacing w:before="0" w:after="0" w:beforeAutospacing="0" w:afterAutospacing="0"/>
        <w:ind w:firstLine="0" w:left="72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robotolight" w:hAnsi="robotolight"/>
          <w:b w:val="1"/>
          <w:i w:val="0"/>
          <w:color w:val="1D1D1B"/>
          <w:sz w:val="48"/>
          <w:shd w:val="clear" w:fill="FFFFFF"/>
        </w:rPr>
      </w:pPr>
      <w:r>
        <w:rPr>
          <w:rFonts w:ascii="robotoregular" w:hAnsi="robotoregular"/>
          <w:b w:val="1"/>
          <w:i w:val="0"/>
          <w:color w:val="262626"/>
          <w:sz w:val="30"/>
          <w:shd w:val="clear" w:fill="FFFFFF"/>
        </w:rPr>
        <w:t> </w:t>
      </w:r>
      <w:r>
        <w:rPr>
          <w:rFonts w:ascii="robotoregular" w:hAnsi="robotoregular"/>
          <w:b w:val="1"/>
          <w:i w:val="0"/>
          <w:color w:val="262626"/>
          <w:sz w:val="28"/>
          <w:shd w:val="clear" w:fill="FFFFFF"/>
        </w:rPr>
        <w:t xml:space="preserve">3. </w:t>
      </w:r>
      <w:r>
        <w:rPr>
          <w:rFonts w:ascii="robotolight" w:hAnsi="robotolight"/>
          <w:b w:val="1"/>
          <w:i w:val="0"/>
          <w:color w:val="1D1D1B"/>
          <w:sz w:val="28"/>
          <w:shd w:val="clear" w:fill="FFFFFF"/>
        </w:rPr>
        <w:t>Заполнение пропусков в предложении</w:t>
      </w:r>
    </w:p>
    <w:p>
      <w:pPr>
        <w:spacing w:before="0" w:after="0" w:beforeAutospacing="0" w:afterAutospacing="0"/>
        <w:ind w:firstLine="0" w:left="0" w:right="0"/>
        <w:jc w:val="center"/>
        <w:rPr>
          <w:rFonts w:ascii="robotolight" w:hAnsi="robotolight"/>
          <w:b w:val="0"/>
          <w:i w:val="0"/>
          <w:color w:val="1D1D1B"/>
          <w:sz w:val="39"/>
          <w:shd w:val="clear" w:fill="FFFFFF"/>
        </w:rPr>
      </w:pPr>
      <w:r>
        <w:rPr>
          <w:rFonts w:ascii="robotolight" w:hAnsi="robotolight"/>
          <w:b w:val="0"/>
          <w:i w:val="0"/>
          <w:color w:val="1D1D1B"/>
          <w:sz w:val="39"/>
          <w:shd w:val="clear" w:fill="FFFFFF"/>
        </w:rPr>
        <w:t>Заполните пропуски:</w:t>
      </w:r>
    </w:p>
    <w:p>
      <w:pPr>
        <w:spacing w:before="750" w:after="0" w:beforeAutospacing="0" w:afterAutospacing="0"/>
        <w:ind w:firstLine="0" w:left="0" w:right="0"/>
        <w:jc w:val="left"/>
        <w:rPr>
          <w:rFonts w:ascii="robotoregular" w:hAnsi="robotoregular"/>
          <w:b w:val="0"/>
          <w:i w:val="0"/>
          <w:color w:val="262626"/>
          <w:sz w:val="30"/>
          <w:shd w:val="clear" w:fill="FFFFFF"/>
        </w:rPr>
      </w:pPr>
      <w:r>
        <w:rPr>
          <w:rFonts w:ascii="robotoregular" w:hAnsi="robotoregular"/>
          <w:b w:val="0"/>
          <w:i w:val="0"/>
          <w:color w:val="1D1D1B"/>
          <w:sz w:val="30"/>
          <w:shd w:val="clear" w:fill="FFFFFF"/>
        </w:rPr>
        <w:t>До ввода_______________  сил и средств на объект (территорию) проводится общая и специальная разведка в___________  чрезвычайной ситуации, которая включает: наземную______________, водную, радиационную, химическую, инженерную, медицинскую,________________  , биологическую,________________  и другие виды разведки.</w:t>
      </w:r>
    </w:p>
    <w:p>
      <w:pPr>
        <w:jc w:val="left"/>
        <w:rPr>
          <w:rFonts w:ascii="Times New Roman" w:hAnsi="Times New Roman"/>
          <w:b w:val="1"/>
          <w:sz w:val="32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4B02C58"/>
    <w:multiLevelType w:val="hybridMultilevel"/>
    <w:lvl w:ilvl="0" w:tplc="4D48182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505236C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2DD4D2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0A0D88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3810337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1D922E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F7AA3A4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F723E5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7C0C7B7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3916C1BD"/>
    <w:multiLevelType w:val="hybridMultilevel"/>
    <w:lvl w:ilvl="0" w:tplc="6EABFFE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358CCE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0E84918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E8B12C7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A6BF104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CF6D925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0B63D9E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707735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A8ACB99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53437EB3"/>
    <w:multiLevelType w:val="hybridMultilevel"/>
    <w:lvl w:ilvl="0" w:tplc="09E5F63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E6A02C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993670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2DD405C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CF770A1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4521F43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6CF8BF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8E2B508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48AB660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03464984"/>
    <w:multiLevelType w:val="hybridMultilevel"/>
    <w:lvl w:ilvl="0" w:tplc="4F03B7D3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53D9FB1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237912D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EFB5779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4B809340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1FFE80FA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33EEEDB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B2F000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1FD177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3F73093F"/>
    <w:multiLevelType w:val="hybridMultilevel"/>
    <w:lvl w:ilvl="0" w:tplc="3E6BC219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CA4A4DA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F5CC202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EC7D12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BE37E1C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000BCAC9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E92D792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731F301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EA0C055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