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6FBD4EF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Ссылка    resh.edu.ru</w:t>
      </w:r>
    </w:p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jc w:val="center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Основы безопасности жизнедеятельности</w:t>
      </w:r>
    </w:p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jc w:val="center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3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 февраля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 2022 год</w:t>
      </w:r>
    </w:p>
    <w:p>
      <w:pPr>
        <w:tabs>
          <w:tab w:val="left" w:pos="9656" w:leader="none"/>
        </w:tabs>
        <w:spacing w:lineRule="auto" w:line="240" w:before="100" w:after="300" w:beforeAutospacing="0" w:afterAutospacing="0"/>
        <w:ind w:right="-1016"/>
        <w:jc w:val="center"/>
        <w:rPr>
          <w:rFonts w:ascii="Times New Roman" w:hAnsi="Times New Roman"/>
          <w:b w:val="1"/>
          <w:color w:val="1D1D1B"/>
          <w:sz w:val="28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гр.МД 2</w:t>
      </w:r>
      <w:r>
        <w:rPr>
          <w:rFonts w:ascii="Times New Roman" w:hAnsi="Times New Roman"/>
          <w:b w:val="1"/>
          <w:color w:val="1D1D1B"/>
          <w:sz w:val="28"/>
          <w:shd w:val="clear" w:fill="FFFFFF"/>
        </w:rPr>
        <w:t>0</w:t>
      </w:r>
    </w:p>
    <w:p>
      <w:pPr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 xml:space="preserve">Тема: </w:t>
      </w:r>
      <w:bookmarkStart w:id="0" w:name="_dx_frag_StartFragment"/>
      <w:bookmarkEnd w:id="0"/>
      <w:r>
        <w:rPr>
          <w:rFonts w:ascii="Times New Roman" w:hAnsi="Times New Roman"/>
          <w:b w:val="1"/>
          <w:color w:val="1D1D1B"/>
          <w:sz w:val="28"/>
          <w:shd w:val="clear" w:fill="FFFFFF"/>
        </w:rPr>
        <w:t>Организация проведения аварийно-спасательных и других неотложных работ в зоне чрезвычайной ситуации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Перечень вопросов, рассматриваемых в теме:</w:t>
      </w:r>
    </w:p>
    <w:p>
      <w:pPr>
        <w:numPr>
          <w:ilvl w:val="0"/>
          <w:numId w:val="1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Аварийно-спасательные работы.</w:t>
      </w:r>
    </w:p>
    <w:p>
      <w:pPr>
        <w:numPr>
          <w:ilvl w:val="0"/>
          <w:numId w:val="1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Неотложные работы при ликвидации ЧС.</w:t>
      </w:r>
    </w:p>
    <w:p>
      <w:pPr>
        <w:numPr>
          <w:ilvl w:val="0"/>
          <w:numId w:val="1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Поражающие факторы чрезвычайных ситуаций.</w:t>
      </w:r>
    </w:p>
    <w:p>
      <w:pPr>
        <w:numPr>
          <w:ilvl w:val="0"/>
          <w:numId w:val="1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Правила безопасного поведения в чрезвычайных ситуациях.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Глоссарий по теме: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Аварийно-спасательные работы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– это действия по спасению людей, материальных и культурных ценностей, защите природной среды в зоне чрезвычайных ситуаций (ЧС), локализации ЧС и подавлению или доведению до минимального возможного уровня, воздействия характерных для них опасных факторах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Неотложные работы при ликвидации чрезвычайных ситуаций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— это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bookmarkStart w:id="1" w:name="_30J0ZLL"/>
      <w:bookmarkEnd w:id="1"/>
      <w:r>
        <w:rPr>
          <w:rFonts w:ascii="Times New Roman" w:hAnsi="Times New Roman"/>
          <w:b w:val="1"/>
          <w:color w:val="1D1D1B"/>
          <w:sz w:val="28"/>
          <w:shd w:val="clear" w:fill="FFFFFF"/>
        </w:rPr>
        <w:t>Поражающий фактор источника ЧС</w:t>
      </w:r>
      <w:r>
        <w:rPr>
          <w:rFonts w:ascii="Times New Roman" w:hAnsi="Times New Roman"/>
          <w:b w:val="0"/>
          <w:color w:val="1D1D1B"/>
          <w:sz w:val="28"/>
          <w:shd w:val="clear" w:fill="FFFFFF"/>
        </w:rPr>
        <w:t> — составляющая опасного явления или процесса физического, химического или биологического (бактериального) характера, вызываемого источником ЧС и приводящего к поражению людей, сельскохозяйственных животных и растений, хозяйственных и иных объектов, элементов окружающей природной среды.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Основная и дополнительная литература по теме урока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Основная литература:</w:t>
      </w:r>
    </w:p>
    <w:p>
      <w:pPr>
        <w:numPr>
          <w:ilvl w:val="0"/>
          <w:numId w:val="2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Смирнов А.Т., Хренников Б.О. Основы безопасности жизнедеятельности. 10 класс: учеб. для общеобразоват. организаций: базовый и профильный уровни уровень. М.: Просвещение, 2018. 304 с. (страницы 184-192)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Дополнительная литература:</w:t>
      </w:r>
    </w:p>
    <w:p>
      <w:pPr>
        <w:numPr>
          <w:ilvl w:val="0"/>
          <w:numId w:val="3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Смирнов А.Т. Основы безопасности жизнедеятельности. 10-11 классы: Сборник ситуативных задач. 10-11 кл. М.: Просвещение, 2016. 128 с.</w:t>
      </w:r>
    </w:p>
    <w:p>
      <w:pPr>
        <w:numPr>
          <w:ilvl w:val="0"/>
          <w:numId w:val="3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Латчук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>
      <w:pPr>
        <w:numPr>
          <w:ilvl w:val="0"/>
          <w:numId w:val="3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Латчук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Интернет-ресурсы:</w:t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Официальный сайт Министерства внутренних дел Российской Федерации - 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instrText>HYPERLINK "about:blank"</w:instrTex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t>https://мвд.рф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end"/>
      </w:r>
    </w:p>
    <w:p>
      <w:pPr>
        <w:numPr>
          <w:ilvl w:val="0"/>
          <w:numId w:val="4"/>
        </w:numPr>
        <w:spacing w:before="0" w:after="0" w:beforeAutospacing="0" w:afterAutospacing="0"/>
        <w:ind w:hanging="360" w:left="72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  <w:t>Официальный сайт министерства Российской Федерации по делам гражданской обороны, чрезвычайным ситуациям и ликвидации последствий стихийных бедствий - 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instrText>HYPERLINK "http://www.mchs.gov.ru/"</w:instrTex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t>http://www.mchs.gov.ru/</w:t>
      </w:r>
      <w:r>
        <w:rPr>
          <w:rStyle w:val="C2"/>
          <w:rFonts w:ascii="Times New Roman" w:hAnsi="Times New Roman"/>
          <w:b w:val="0"/>
          <w:i w:val="0"/>
          <w:strike w:val="0"/>
          <w:color w:val="auto"/>
          <w:sz w:val="28"/>
          <w:u w:val="none"/>
        </w:rPr>
        <w:fldChar w:fldCharType="end"/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color w:val="1D1D1B"/>
          <w:sz w:val="28"/>
          <w:shd w:val="clear" w:fill="FFFFFF"/>
        </w:rPr>
        <w:t>Теоретический материал для самостоятельного изучения:</w:t>
      </w:r>
    </w:p>
    <w:p>
      <w:pPr>
        <w:spacing w:before="75" w:after="150" w:beforeAutospacing="0" w:afterAutospacing="0"/>
        <w:ind w:firstLine="0" w:left="0" w:right="0"/>
        <w:jc w:val="center"/>
        <w:outlineLvl w:val="2"/>
        <w:rPr>
          <w:rFonts w:ascii="Times New Roman" w:hAnsi="Times New Roman"/>
          <w:b w:val="0"/>
          <w:color w:val="1D1D1B"/>
          <w:sz w:val="28"/>
          <w:shd w:val="clear" w:fill="FFFFFF"/>
        </w:rPr>
      </w:pPr>
      <w:bookmarkStart w:id="2" w:name="_G9OQM9WXF0V5"/>
      <w:bookmarkEnd w:id="2"/>
      <w:r>
        <w:rPr>
          <w:rFonts w:ascii="Times New Roman" w:hAnsi="Times New Roman"/>
          <w:b w:val="0"/>
          <w:color w:val="1D1D1B"/>
          <w:sz w:val="28"/>
          <w:shd w:val="clear" w:fill="FFFFFF"/>
        </w:rPr>
        <w:t>Противорадиационные укрытия (ПРУ) устраивают так, чтобы коэффициент защиты их был наибольшим. Они оборудуются прежде всего в подвальных этажах зданий и сооружений. Подвалы в деревянных домах ослабляют радиацию в 7-12 раз, в каменных зданиях - в 200-300 раз, а средняя часть подвала каменного здания в несколько этажей – в 500-1000 раз. Под ПРУ могут быть использованы также наземные этажи зданий и сооружений, наиболее пригодны для этого внутренние помещения каменных зданий с капитальными стенами и небольшой площадью проёмов. Первые этажи двухэтажных каменных зданий ослабляют радиацию в 5-7 раз. В сельской местности особое внимание должно уделяться использованию под ПРУ погребов, находящихся в личном пользовании, а также овощехранилищ.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В целях усиления защитных свойств помещений, используемых под ПРУ, их следует соответствующим образом дооборудовать.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Для повышения защитных свойств в помещении заделывают оконные и лишние дверные проёмы, насыпают слой грунта на перекрытие и делают, если нужно, грунтовую подсыпку снаружи у стен, выступающих выше поверхности земли. Герметизация помещений достигается тщательной заделкой трещин, щелей и отверстий в стенах и потолке, в местах примыкания оконных и дверных проёмов, стыков отопительных и водопроводных труб; подгонкой дверей и обивкой их войлоком с уплотнением притвора валиком из войлока или другой мягкой плотной ткани.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Дооборудование подвальных этажей и внутренних помещений зданий повышает их защитные свойства в несколько раз. Так, коэффициент защиты оборудованных подвалов деревянных домов повышается примерно до 100, каменных домов - до 800-1000. Необорудованные погреба ослабляют радиацию в 7-12 раз, а оборудованные - в 350-400 раз.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Что входит в аптечку индивидуальную (АИ-2):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1 - для шприц-тюбика со специальным противоболевым средством.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2 - в пенале красного цвета б таблеток антидота против отравляющих веществ.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Как профилактическое средство принимают по 1 таблетке, а при появлении первых признаков отравления принимают ещё одну таблетку.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3 - в удлинённом пенале противобиологическое средство № 2, всего 15 таблеток, которые принимают после радиационного облучения при желудочно-кишечных расстройствах: 7 таблеток на приём в первые сутки и по 4 таблетки на приём ежедневно в течение последующих двух суток.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Противобиологическое средство № 2 принимают с целью профилактики инфекционных осложнений, которые могут возникнуть в связи с ослаблением защитных свойств облучённого организма.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4-в двух пеналах розового цвета, закрытых белой крышкой, радиозащитное средство № 1, всего 12 таблеток. Принимают одновременно б таблеток за 30-60 мин до начала облучения по сигналу оповещения «Радиационная опасность» или по указанию работников ГО с целью профилактики радиационного поражения.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Повторный приём 6 таблеток допускается через 4-5 ч в случае нахождения на территории, заражённой радиоактивными веществами.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5 - в двух пеналах без окраски противобиологическое средство № 1, всего 10 таблеток. Принимают как средство экстренной профилактики при угрозе заражения биологическими средствами или при заражении ими, при ранениях и ожогах по 5 таблеток на приём с промежутком между первым и вторым приёмами б ч.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6 - в пенале белого цвета радиозащитное средство № 2, всего 10 таблеток. Принимают по 1 таблетке ежедневно в течение 10 дней в тех случаях, когда употребляют в пищу молоко от коров, пасущихся на заражённой радиоактивными веществами местности.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Гнездо № 7 — в пенале голубого цвета противорвотное средство, всего 5 таблеток. Принимают по 1 таблетке при ушибах головы, сотрясениях и контузиях, при первичной лучевой реакции с целью предупреждения рвоты.</w:t>
      </w:r>
    </w:p>
    <w:p>
      <w:pPr>
        <w:rPr>
          <w:rFonts w:ascii="Times New Roman" w:hAnsi="Times New Roman"/>
          <w:b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color w:val="1D1D1B"/>
          <w:sz w:val="28"/>
          <w:shd w:val="clear" w:fill="FFFFFF"/>
        </w:rPr>
        <w:t>Медицинские средства из аптечки индивидуальной детям до 8 лет на один приём дают1/4, а детям от 8 до 15 лет- 1/2 дозы взрослого, кроме радиозащитного средства № 2, которое дают в полной дозе.</w:t>
      </w:r>
    </w:p>
    <w:p>
      <w:pPr>
        <w:spacing w:before="240" w:after="240" w:beforeAutospacing="0" w:afterAutospacing="0"/>
        <w:ind w:firstLine="0" w:left="0" w:right="0"/>
        <w:jc w:val="center"/>
        <w:outlineLvl w:val="4"/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color w:val="1D1D1B"/>
          <w:sz w:val="28"/>
          <w:shd w:val="clear" w:fill="FFFFFF"/>
        </w:rPr>
        <w:t>Тезаурус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Аварийно-спасательные работы – это действия по спасению людей, материальных и культурных ценностей, защите природной среды в зоне чрезвычайных ситуаций (ЧС), локализации ЧС и подавлению или доведению до минимального возможного уровня, воздействия характерных для них опасных факторах</w:t>
      </w:r>
    </w:p>
    <w:p>
      <w:pPr>
        <w:spacing w:before="240" w:after="30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olor w:val="1D1D1B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Неотложные работы при ликвидации чрезвычайных ситуаций — это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</w:t>
      </w:r>
    </w:p>
    <w:p>
      <w:pP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Поражающий фактор источника ЧС — составляющая опасного явления или процесса физического, химического или биологического (бактериального) характера, вызываемого источником ЧС и приводящего к поражению людей, сельскохозяйственных животных и растений, хозяйственных и иных объектов, элементов окружающей природной среды.</w:t>
      </w:r>
    </w:p>
    <w:p>
      <w:pPr>
        <w:rPr>
          <w:rFonts w:ascii="Times New Roman" w:hAnsi="Times New Roman"/>
          <w:b w:val="0"/>
          <w:i w:val="0"/>
          <w:color w:val="C00000"/>
          <w:sz w:val="28"/>
          <w:shd w:val="clear" w:fill="FFFFFF"/>
        </w:rPr>
      </w:pPr>
      <w:r>
        <w:rPr>
          <w:rFonts w:ascii="Times New Roman" w:hAnsi="Times New Roman"/>
          <w:b w:val="0"/>
          <w:i w:val="0"/>
          <w:color w:val="C00000"/>
          <w:sz w:val="28"/>
          <w:shd w:val="clear" w:fill="FFFFFF"/>
        </w:rPr>
        <w:t>КОНСПЕКТ</w:t>
      </w:r>
    </w:p>
    <w:p>
      <w:pPr>
        <w:jc w:val="center"/>
        <w:rPr>
          <w:rFonts w:ascii="Times New Roman" w:hAnsi="Times New Roman"/>
          <w:b w:val="1"/>
          <w:i w:val="0"/>
          <w:color w:val="000000"/>
          <w:sz w:val="32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32"/>
          <w:shd w:val="clear" w:fill="FFFFFF"/>
        </w:rPr>
        <w:t>Контрольные задания</w:t>
      </w:r>
    </w:p>
    <w:p>
      <w:pPr>
        <w:spacing w:before="240" w:after="240" w:beforeAutospacing="0" w:afterAutospacing="0"/>
        <w:ind w:firstLine="0" w:left="0" w:right="0"/>
        <w:jc w:val="center"/>
        <w:outlineLvl w:val="4"/>
        <w:rPr>
          <w:rFonts w:ascii="robotolight" w:hAnsi="robotolight"/>
          <w:b w:val="1"/>
          <w:i w:val="0"/>
          <w:color w:val="1D1D1B"/>
          <w:sz w:val="28"/>
          <w:shd w:val="clear" w:fill="FFFFFF"/>
        </w:rPr>
      </w:pPr>
      <w:r>
        <w:rPr>
          <w:rFonts w:ascii="robotolight" w:hAnsi="robotolight"/>
          <w:b w:val="1"/>
          <w:i w:val="0"/>
          <w:color w:val="1D1D1B"/>
          <w:sz w:val="28"/>
          <w:shd w:val="clear" w:fill="FFFFFF"/>
        </w:rPr>
        <w:t>1. Поражающее воздействие чрезвычайной ситуации</w:t>
      </w:r>
    </w:p>
    <w:p>
      <w:pPr>
        <w:spacing w:before="0" w:after="0" w:beforeAutospacing="0" w:afterAutospacing="0"/>
        <w:ind w:firstLine="0" w:left="0" w:right="0"/>
        <w:jc w:val="center"/>
        <w:rPr>
          <w:rFonts w:ascii="robotolight" w:hAnsi="robotolight"/>
          <w:b w:val="0"/>
          <w:i w:val="0"/>
          <w:color w:val="1D1D1B"/>
          <w:sz w:val="39"/>
          <w:shd w:val="clear" w:fill="FFFFFF"/>
        </w:rPr>
      </w:pPr>
      <w:r>
        <w:rPr>
          <w:rFonts w:ascii="robotolight" w:hAnsi="robotolight"/>
          <w:b w:val="0"/>
          <w:i w:val="0"/>
          <w:color w:val="1D1D1B"/>
          <w:sz w:val="39"/>
          <w:shd w:val="clear" w:fill="FFFFFF"/>
        </w:rPr>
        <w:t>Заполните пропуски:</w:t>
      </w:r>
    </w:p>
    <w:p>
      <w:pPr>
        <w:jc w:val="left"/>
        <w:rPr>
          <w:rFonts w:ascii="robotoregular" w:hAnsi="robotoregular"/>
          <w:b w:val="0"/>
          <w:i w:val="0"/>
          <w:color w:val="1D1D1B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1D1D1B"/>
          <w:sz w:val="30"/>
          <w:shd w:val="clear" w:fill="FFFFFF"/>
        </w:rPr>
        <w:t>Поражающее воздействие чрезвычайной ситуации – это____________  влияние одного или совокупности поражающих факторов ЧС на______________  и здоровье людей, сельскохозяйственных животных и растения, объекты______________________  и окружающую среду.</w:t>
      </w:r>
    </w:p>
    <w:p>
      <w:pPr>
        <w:spacing w:before="240" w:after="240" w:beforeAutospacing="0" w:afterAutospacing="0"/>
        <w:ind w:firstLine="0" w:left="0" w:right="0"/>
        <w:jc w:val="center"/>
        <w:outlineLvl w:val="4"/>
        <w:rPr>
          <w:rFonts w:ascii="robotolight" w:hAnsi="robotolight"/>
          <w:b w:val="1"/>
          <w:i w:val="0"/>
          <w:color w:val="1D1D1B"/>
          <w:sz w:val="28"/>
          <w:shd w:val="clear" w:fill="FFFFFF"/>
        </w:rPr>
      </w:pPr>
      <w:r>
        <w:rPr>
          <w:rFonts w:ascii="robotolight" w:hAnsi="robotolight"/>
          <w:b w:val="1"/>
          <w:i w:val="0"/>
          <w:color w:val="1D1D1B"/>
          <w:sz w:val="28"/>
          <w:shd w:val="clear" w:fill="FFFFFF"/>
        </w:rPr>
        <w:t>2. Поражающие факторы физического и химического действия</w:t>
      </w:r>
    </w:p>
    <w:p>
      <w:pPr>
        <w:spacing w:before="0" w:after="0" w:beforeAutospacing="0" w:afterAutospacing="0"/>
        <w:ind w:firstLine="0" w:left="0" w:right="0"/>
        <w:jc w:val="center"/>
        <w:rPr>
          <w:rFonts w:ascii="robotolight" w:hAnsi="robotolight"/>
          <w:b w:val="0"/>
          <w:i w:val="0"/>
          <w:color w:val="1D1D1B"/>
          <w:sz w:val="28"/>
          <w:shd w:val="clear" w:fill="FFFFFF"/>
        </w:rPr>
      </w:pPr>
      <w:r>
        <w:rPr>
          <w:rFonts w:ascii="robotolight" w:hAnsi="robotolight"/>
          <w:b w:val="0"/>
          <w:i w:val="0"/>
          <w:color w:val="1D1D1B"/>
          <w:sz w:val="28"/>
          <w:shd w:val="clear" w:fill="FFFFFF"/>
        </w:rPr>
        <w:t>Выделите красным цветом те поражающие факторы, которые относятся к физическому действию, а зеленым цветом – те, которые относятся к химическому действию: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Воздушную ударную волну.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Волну сжатия в грунте.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Сейсмовзрывную волну.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Токсическое действие опасных химических веществ.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Волну прорыва гидротехнических сооружений.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Обломки или осколки.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Экстремальный нагрев среды.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Тепловое излучение.</w:t>
      </w:r>
    </w:p>
    <w:p>
      <w:pPr>
        <w:numPr>
          <w:ilvl w:val="0"/>
          <w:numId w:val="5"/>
        </w:numPr>
        <w:spacing w:before="0" w:after="0" w:beforeAutospacing="0" w:afterAutospacing="0"/>
        <w:ind w:hanging="36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262626"/>
          <w:sz w:val="30"/>
          <w:shd w:val="clear" w:fill="FFFFFF"/>
        </w:rPr>
        <w:t>Ионизирующее излучение.</w:t>
      </w:r>
    </w:p>
    <w:p>
      <w:pPr>
        <w:spacing w:before="0" w:after="0" w:beforeAutospacing="0" w:afterAutospacing="0"/>
        <w:ind w:firstLine="0" w:left="72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</w:p>
    <w:p>
      <w:pPr>
        <w:spacing w:before="240" w:after="240" w:beforeAutospacing="0" w:afterAutospacing="0"/>
        <w:ind w:firstLine="0" w:left="0" w:right="0"/>
        <w:jc w:val="center"/>
        <w:outlineLvl w:val="4"/>
        <w:rPr>
          <w:rFonts w:ascii="robotolight" w:hAnsi="robotolight"/>
          <w:b w:val="1"/>
          <w:i w:val="0"/>
          <w:color w:val="1D1D1B"/>
          <w:sz w:val="48"/>
          <w:shd w:val="clear" w:fill="FFFFFF"/>
        </w:rPr>
      </w:pPr>
      <w:r>
        <w:rPr>
          <w:rFonts w:ascii="robotoregular" w:hAnsi="robotoregular"/>
          <w:b w:val="1"/>
          <w:i w:val="0"/>
          <w:color w:val="262626"/>
          <w:sz w:val="30"/>
          <w:shd w:val="clear" w:fill="FFFFFF"/>
        </w:rPr>
        <w:t> </w:t>
      </w:r>
      <w:r>
        <w:rPr>
          <w:rFonts w:ascii="robotoregular" w:hAnsi="robotoregular"/>
          <w:b w:val="1"/>
          <w:i w:val="0"/>
          <w:color w:val="262626"/>
          <w:sz w:val="28"/>
          <w:shd w:val="clear" w:fill="FFFFFF"/>
        </w:rPr>
        <w:t xml:space="preserve">3. </w:t>
      </w:r>
      <w:r>
        <w:rPr>
          <w:rFonts w:ascii="robotolight" w:hAnsi="robotolight"/>
          <w:b w:val="1"/>
          <w:i w:val="0"/>
          <w:color w:val="1D1D1B"/>
          <w:sz w:val="28"/>
          <w:shd w:val="clear" w:fill="FFFFFF"/>
        </w:rPr>
        <w:t>Заполнение пропусков в предложении</w:t>
      </w:r>
    </w:p>
    <w:p>
      <w:pPr>
        <w:spacing w:before="0" w:after="0" w:beforeAutospacing="0" w:afterAutospacing="0"/>
        <w:ind w:firstLine="0" w:left="0" w:right="0"/>
        <w:jc w:val="center"/>
        <w:rPr>
          <w:rFonts w:ascii="robotolight" w:hAnsi="robotolight"/>
          <w:b w:val="0"/>
          <w:i w:val="0"/>
          <w:color w:val="1D1D1B"/>
          <w:sz w:val="39"/>
          <w:shd w:val="clear" w:fill="FFFFFF"/>
        </w:rPr>
      </w:pPr>
      <w:r>
        <w:rPr>
          <w:rFonts w:ascii="robotolight" w:hAnsi="robotolight"/>
          <w:b w:val="0"/>
          <w:i w:val="0"/>
          <w:color w:val="1D1D1B"/>
          <w:sz w:val="39"/>
          <w:shd w:val="clear" w:fill="FFFFFF"/>
        </w:rPr>
        <w:t>Заполните пропуски:</w:t>
      </w:r>
    </w:p>
    <w:p>
      <w:pPr>
        <w:spacing w:before="750" w:after="0" w:beforeAutospacing="0" w:afterAutospacing="0"/>
        <w:ind w:firstLine="0" w:left="0" w:right="0"/>
        <w:jc w:val="left"/>
        <w:rPr>
          <w:rFonts w:ascii="robotoregular" w:hAnsi="robotoregular"/>
          <w:b w:val="0"/>
          <w:i w:val="0"/>
          <w:color w:val="262626"/>
          <w:sz w:val="30"/>
          <w:shd w:val="clear" w:fill="FFFFFF"/>
        </w:rPr>
      </w:pPr>
      <w:r>
        <w:rPr>
          <w:rFonts w:ascii="robotoregular" w:hAnsi="robotoregular"/>
          <w:b w:val="0"/>
          <w:i w:val="0"/>
          <w:color w:val="1D1D1B"/>
          <w:sz w:val="30"/>
          <w:shd w:val="clear" w:fill="FFFFFF"/>
        </w:rPr>
        <w:t>До ввода_______________  сил и средств на объект (территорию) проводится общая и специальная разведка в___________  чрезвычайной ситуации, которая включает: наземную______________, водную, радиационную, химическую, инженерную, медицинскую,________________  , биологическую,________________  и другие виды разведки.</w:t>
      </w:r>
    </w:p>
    <w:p>
      <w:pPr>
        <w:jc w:val="left"/>
        <w:rPr>
          <w:rFonts w:ascii="Times New Roman" w:hAnsi="Times New Roman"/>
          <w:b w:val="1"/>
          <w:sz w:val="32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4B02C58"/>
    <w:multiLevelType w:val="hybridMultilevel"/>
    <w:lvl w:ilvl="0" w:tplc="4D48182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505236C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2DD4D2F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0A0D88C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8103378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51D922E9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F7AA3A4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3F723E55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7C0C7B7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">
    <w:nsid w:val="3916C1BD"/>
    <w:multiLevelType w:val="hybridMultilevel"/>
    <w:lvl w:ilvl="0" w:tplc="6EABFFE5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358CCEA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0E84918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5E8B12C7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A6BF104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6CF6D925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30B63D9E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57077354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A8ACB99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">
    <w:nsid w:val="53437EB3"/>
    <w:multiLevelType w:val="hybridMultilevel"/>
    <w:lvl w:ilvl="0" w:tplc="09E5F63A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E6A02C8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4993670D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2DD405C9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CF770A1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34521F43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36CF8BF0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8E2B508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748AB660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">
    <w:nsid w:val="03464984"/>
    <w:multiLevelType w:val="hybridMultilevel"/>
    <w:lvl w:ilvl="0" w:tplc="4F03B7D3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453D9FB1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237912D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EFB5779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B809340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1FFE80FA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33EEEDB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5B2F000E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1FD177A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4">
    <w:nsid w:val="3F73093F"/>
    <w:multiLevelType w:val="hybridMultilevel"/>
    <w:lvl w:ilvl="0" w:tplc="3E6BC219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CA4A4DA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5F5CC202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4EC7D12C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BE37E1C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000BCAC9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E92D792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5731F301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EA0C055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