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6FC0BDA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100" w:after="300" w:beforeAutospacing="0" w:afterAutospacing="0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Ссылка    resh.edu.ru</w:t>
      </w:r>
    </w:p>
    <w:p>
      <w:pPr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Физическая культура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3 февраля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202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2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год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гр.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ПК 18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Тема: </w:t>
      </w:r>
      <w:bookmarkStart w:id="0" w:name="_dx_frag_StartFragment"/>
      <w:bookmarkEnd w:id="0"/>
      <w:r>
        <w:rPr>
          <w:rFonts w:ascii="Times New Roman" w:hAnsi="Times New Roman"/>
          <w:b w:val="1"/>
          <w:color w:val="1D1D1B"/>
          <w:sz w:val="28"/>
          <w:shd w:val="clear" w:fill="FFFFFF"/>
        </w:rPr>
        <w:t>Метание баскетбольных и набивных мячей в горизонтальную и вертикальную цели.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Краткое описание. 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В данном уроке рассматриваются различные способы метания снарядов в горизонтальную и вертикальную цели, а также режим питания спортсменов.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Глоссарий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bookmarkStart w:id="1" w:name="_GJDGXS"/>
      <w:bookmarkEnd w:id="1"/>
      <w:r>
        <w:rPr>
          <w:rFonts w:ascii="Times New Roman" w:hAnsi="Times New Roman"/>
          <w:b w:val="1"/>
          <w:color w:val="1D1D1B"/>
          <w:sz w:val="28"/>
          <w:shd w:val="clear" w:fill="FFFFFF"/>
        </w:rPr>
        <w:t>Вертикальная цель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цель для метания, расположенная на высоте, перпендикулярно земле.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Горизонтальная цель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цель для метания, расположенная на плоскости (земле).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Набивной мяч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утяжеленный спортивный снаряд.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Режим питания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это распределение пищи в течение дня по времени, калорийности и объему и др.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Основная литература: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Лях В.И. Физическая культура. 10–11 классы: учеб. для общеобразоват. учреждений; под ред. В. И. Ляха. – 7-е изд. – М. : Просвещение, 2012. – 237 с.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Дополнительная литература:</w:t>
      </w:r>
    </w:p>
    <w:p>
      <w:pPr>
        <w:numPr>
          <w:ilvl w:val="0"/>
          <w:numId w:val="2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Погадаев Г. И. Физическая культура. Базовый уровень. 10–11 кл.: учебник. – 2-е изд., стереотип. – М. : Дрофа, 2014. – 271, [1] с.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Интернет-ресурсы:</w:t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Единое окно доступа к информационным ресурсам [Электронный ресурс]. М. 2005 – 2018. URL:  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instrText>HYPERLINK "http://window.edu.ru/"</w:instrTex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t>http://window.edu.ru/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end"/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(дата обращения: 02.07.2018).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ТЕОРЕТИЧЕСКИЙ МАТЕРИАЛ ДЛЯ САМОСТОЯТЕЛЬНОГО ИЗУЧЕНИЯ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Метания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 xml:space="preserve"> – это легкоатлетические упражнения со снарядом, относящиеся к ациклическому типу упражнений, которые требует «взрывных» усилий. Все метания хорошо развивают равновесие, глазомер, снимают мышечные зажимы и благотворно влияют на ЦНС. Средством обучения техникам метаний являются упражнения и игры с различными по размеру и весу мячами – теннисными, баскетбольными, набивными. Работа с мячами помогает получить навыки, необходимые для спортивных игр, гимнастики и легкой атлетики, а также развить координацию, гибкость и ловкость. Существует множество способов метания предметов, однако их применение зависит от веса и размера снаряда, расстояния до цели, ее размера и месторасположения. Горизонтальная цель размещается на плоскости, а вертикальная, как правило, на высоте выше уровня глаз метателя. Каждое упражнение в метании - поступательное движение, в котором различают четыре фазы: 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подготовительную, прицеливание, замах, бросок.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Метание набивного мяча в вертикальную цель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выполняется из приседа, броском руками от груди. Возьмите набивной мяч и встаньте на некотором расстоянии цели, ноги на ширине плеч. Держите мяч двумя руками перед грудью. Выполните присед до параллели с полом, упор на пятки. Затем, всем весом нужно передать мячу инерцию, выпрыгивая вверх, толкнуть мяч по направлению к цели.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Метание набивного мяча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в 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горизонтальную цель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, расположенную на земле совершается двумя руками из-за головы. Держа мяч над головой, максимально прогнуться назад, руки слегка согнуты. Выполнить сильный бросок в цель, точным хлестким движением. Тоже самое можно выполнять стоя на коленях.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Метание баскетбольного мяча в вертикальную цель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выполняется двумя руками от груди или одной рукой от плеча. Как правило, такие броски выполняются в корзину. Стартовое положение по время броска: локоть находится строго по перпендикуляру к земле под мячом. Рука согнута в локте под углом 90 градусов. Предплечье направлено строго на кольцо. Из этой позиции начинается движение бросающей руки вверх, а вторая рука отпускает мяч. В конце расслабленная кисть делает мягкое движение вперед, направляя мяч на кольцо, придавая мячу обратное вращение.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Метание баскетбольного мяча в горизонтальную цель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применяется в передачах мяча в баскетболе. Когда необходимо точно рассчитать расстояние для удара мяча об землю при передаче партнеру.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 Передача двумя руками от груди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применяется достаточно часто, когда расстояние до партнера не велико. Мяч посылается резким выпрямлением рук направляя мяч так, чтобы он ударился об площадки и отскочил точно в руки партнеру.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Передача двумя руками снизу.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Для выполнения замаха руками с мячом описывают небольшое кругообразное движение в лучезапястных суставах и несколько опускают их вниз, затем резко выпрямляют, толкая мяч от груди в направлении цели. Заканчивается передача активным движением пальцев и кистей вперед и разгибанием ног.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Режим питания у спортсменов состоит из обязательных приемов пищи от 4-х раз в день. Это стандартные завтрак, обед, полдник и ужин, плюс дополнительные приемы пищи, например, на дистанции. Отличительная особенность спортивного питания заключается в повышенном содержании в рационе белка, или протеина. Это связано в первую очередь с процессом катаболизма при спортивных тренировках. Физические упражнения должны начинаться не ранее, чем через 2 ч. после приема пищи. В день соревнований, после еды должно пройти 3,5 ч. После окончания тренировочных занятий прием пищи рекомендуется только спустя 30-40 мин.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Если рассматривать калорийность, то в процентном соотношении она распределяется так: завтрак — 25—30%, обед — 30—35%, полдник — 15%, ужин — 25—30%. Это соотношение может варьироваться в зависимости от времени основных тренировок. В день развивающей или силовой тренировки калорийность может достигать до 7000 ккал, а в день отдыха резко снижаться — до 2500—3000 ккал.</w:t>
      </w:r>
    </w:p>
    <w:p>
      <w:pPr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Калорийная «стоимость» ежедневного </w:t>
      </w:r>
      <w:r>
        <w:rPr>
          <w:rStyle w:val="C2"/>
          <w:rFonts w:ascii="Times New Roman" w:hAnsi="Times New Roman"/>
          <w:b w:val="0"/>
          <w:strike w:val="0"/>
          <w:color w:val="auto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strike w:val="0"/>
          <w:color w:val="auto"/>
          <w:sz w:val="28"/>
          <w:u w:val="none"/>
        </w:rPr>
        <w:instrText>HYPERLINK "https://all-gigiena.ru/lit/gigiena-gabovich-shaxbazyan/kachestvennij-sostav-pishevogo-raciona"</w:instrText>
      </w:r>
      <w:r>
        <w:rPr>
          <w:rStyle w:val="C2"/>
          <w:rFonts w:ascii="Times New Roman" w:hAnsi="Times New Roman"/>
          <w:b w:val="0"/>
          <w:strike w:val="0"/>
          <w:color w:val="auto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strike w:val="0"/>
          <w:color w:val="auto"/>
          <w:sz w:val="28"/>
          <w:u w:val="none"/>
        </w:rPr>
        <w:t>пищевого рациона</w:t>
      </w:r>
      <w:r>
        <w:rPr>
          <w:rStyle w:val="C2"/>
          <w:rFonts w:ascii="Times New Roman" w:hAnsi="Times New Roman"/>
          <w:b w:val="0"/>
          <w:strike w:val="0"/>
          <w:color w:val="auto"/>
          <w:sz w:val="28"/>
          <w:u w:val="none"/>
        </w:rPr>
        <w:fldChar w:fldCharType="end"/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спортсмена должна зависеть средних энергозатрат за неделю</w:t>
      </w: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Тезаурус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Вертикальная цель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цель для метания, расположенная на высоте, перпендикулярно земле.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Горизонтальная цель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цель для метания, расположенная на плоскости (земле).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Набивной мяч 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– утяжеленный спортивный снаряд.</w:t>
      </w:r>
    </w:p>
    <w:p>
      <w:pP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Режим питания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это распределение пищи в течение дня по времени, калорийности и объему и др.</w:t>
      </w:r>
    </w:p>
    <w:p>
      <w:pP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</w:p>
    <w:p>
      <w:pPr>
        <w:ind w:hanging="0" w:left="-135"/>
        <w:jc w:val="left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>Конспект от руки, фото в вайбер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03C5E29"/>
    <w:multiLevelType w:val="hybridMultilevel"/>
    <w:lvl w:ilvl="0" w:tplc="4C2FE2EF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601CF9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9F135A2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07F329A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E6DA39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0EDACA7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77FFFDE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85E7193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10CC432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730B7ED1"/>
    <w:multiLevelType w:val="hybridMultilevel"/>
    <w:lvl w:ilvl="0" w:tplc="578AE25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A7A06E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CA86D38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CE5E77F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BACB04D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7F78128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A222AEA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7C656B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26D727D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3732041C"/>
    <w:multiLevelType w:val="hybridMultilevel"/>
    <w:lvl w:ilvl="0" w:tplc="11F4464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50ED942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AB5F690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0B8CA86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425CA7D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8D1C68A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2DD4C45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DECEEA2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A712406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