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D8" w:rsidRDefault="00F646D8" w:rsidP="00F646D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46D8" w:rsidRDefault="00F646D8" w:rsidP="00F646D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Лабораторная работа</w:t>
      </w:r>
    </w:p>
    <w:p w:rsidR="00F646D8" w:rsidRPr="00D20426" w:rsidRDefault="00F646D8" w:rsidP="00F646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D20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производства кондитерских изделий </w:t>
      </w:r>
      <w:r w:rsidRPr="00D20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различных участках кондитерского цеха»</w:t>
      </w:r>
    </w:p>
    <w:p w:rsidR="00F646D8" w:rsidRDefault="00F646D8" w:rsidP="00F646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D7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0" name="Рисунок 20" descr="http://player.myshared.ru/5/494213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layer.myshared.ru/5/494213/slides/slide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D8" w:rsidRDefault="00F646D8" w:rsidP="00F646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46D8" w:rsidRDefault="00F646D8" w:rsidP="00F646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7" name="Рисунок 47" descr="http://player.myshared.ru/5/494213/slides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layer.myshared.ru/5/494213/slides/slide_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D8" w:rsidRDefault="00F646D8" w:rsidP="00F646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2" name="Рисунок 32" descr="http://player.myshared.ru/5/494213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layer.myshared.ru/5/494213/slides/slide_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D8" w:rsidRDefault="00F646D8" w:rsidP="00F646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46D8" w:rsidRDefault="00F646D8" w:rsidP="00F646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44" descr="http://player.myshared.ru/5/494213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layer.myshared.ru/5/494213/slides/slide_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D8" w:rsidRDefault="00F646D8" w:rsidP="00F646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46D8" w:rsidRDefault="00F646D8" w:rsidP="00F646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53" name="Рисунок 53" descr="http://player.myshared.ru/5/494213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layer.myshared.ru/5/494213/slides/slide_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D8" w:rsidRDefault="00F646D8" w:rsidP="00F646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46D8" w:rsidRDefault="00F646D8" w:rsidP="00F646D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46D8" w:rsidRDefault="00F646D8" w:rsidP="00F646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2AFA">
        <w:rPr>
          <w:rFonts w:ascii="Times New Roman" w:hAnsi="Times New Roman" w:cs="Times New Roman"/>
          <w:color w:val="000000"/>
          <w:sz w:val="28"/>
          <w:szCs w:val="28"/>
        </w:rPr>
        <w:t>В зависимости от мощности и выпускаемого ассортимента организованы следующие рабочие места: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обработки яиц;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просеивания муки;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подготовки других видов  сырья;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замеса песочного, бисквитного,  миндального теста;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отделки изделий;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выпечки изделий;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мойки инвентаря и тары;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отделение хранения готовой продукции.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Правильная  расстановка оборудования, подготовка рабочих мест, оснащение их необходимых  инвентарем, посудой и транспортными  средствами, бесперебойное снабжение  в течение смены сырьем, топливом, электроэнергией – важные факторы экономического использования рабочего времени, обеспечение рациональной организации труда и механизации 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трудоемких процессов.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Разнообразен  инвентарь цеха, так как при  формовании и отделке требуется  обеспечить не только красивый внешний вид, но и точную массу изделий.         Для оформления кондитерских изделий применяют пластмассовые или жестяные трубочки, которые вкладывают в мешки из плотной ткани, специальные шприцы, гребенки из алюминия или жести и ряд других приспособлений.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Помещение для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порционирования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> теста оборудуют  следующим образом: устанавливают  стол, делительно-округлительную машину или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тестоделитель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>, ларь для мук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под  столом), ящик для ножей(в столе), циферблатные весы. Предусматривают  также место для передвижения 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дежи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с тестом. Делительно-округлительная машина делит тесто на куски определенной массы и закатывает их в шарики, что облегчает очень трудоемкую операцию взвешивания и закатывания каждой порции теста.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Для раскатывания теста используют столы  с шкафчиками для инструментов и выдвижными ларями, тестораскаточную машину, холодильный шкаф(где охлаждается масло и тесто при изготовлении 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слоенных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изделий). В настоящее время применяют машину, которая не только раскатывает тесто необходимой толщины на две ленты, но и дозирует между ними начинку и формует изделия.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Рабочее место для формования изделий  оборудуют столами</w:t>
      </w:r>
    </w:p>
    <w:p w:rsidR="00F646D8" w:rsidRDefault="00F646D8" w:rsidP="00F646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выдвижными ларями для муки, ящиками для инструментов), 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пристенными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> стеллажами.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Для приготовления бисквитного теста  оборудуют отдельное рабочее место вблизи универсального привода, так как тесто взбивают в механической взбивалке, входящей в комплект этого привода. Кроме того, нужен отдельный сто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>или столы) для подготовки яиц, разлива теста на листы или формы. Специальная машина разрезает бисквитный полуфабрикат на пласты.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Кремы готовят в отдельном помещении, в котором устанавливают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взбивательные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  машины различной производительности и с разной вместимостью 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деж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> и  котлов. Варят крем в специальных  опрокидывающихся котлах с паровой  рубашкой или в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наплитных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котлах. Необходим также специальный стол с выдвижными ящиками для хранения инструмента, на нем просеивают пудру и выполняют другие операции.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Для изготовления помады организуют поточную линию, состоящую из электроплиты, котла, специального стола и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взбивальной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машины. Крышка стола металлическая с бортами и под ней помещены два трубопровода с 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холодной и горячей водой. Один из боковых бортов, граничащий с накладным лотком, сделан съемным.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Выпечное  отделение оборудуют кондитерскими  шкафами и печами с электрическим, газовым и реже огневым обогревом.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Для жарки пирожков во фритюре предназначены  специальные электрические или  газовые фритюрницы. Возле фритюрницы размещают стеллажи и стол с сетчатым противне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>для стекания излишка  жира). В этом отделении должна быть особенно хорошая вентиляция, так как при разложении жиров выделяются вредные для здоровья продукты.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Пирожные  и торты отделывают в специальных  помещениях 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> в крайнем случае на отдельных производственных столах, изолированным от других рабочих  мест. Столы снабжают выдвижными ящиками для инструментов, штативом для укрепления кондитерских мешков, специальным бачком для сироп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для пропитки бисквита). Облегчают работу кондитера установленные на 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столах вращающиеся на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оси подставки, на которых ставят торты во время отделки.</w:t>
      </w:r>
      <w:r>
        <w:t xml:space="preserve"> </w:t>
      </w:r>
      <w:proofErr w:type="gramStart"/>
      <w:r>
        <w:t xml:space="preserve">В 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t>моечной для мытья инструмента  и инвентаря устанавливают ванны  с тремя отделениями и стерилизатором.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Рядом с моечными ванными располагают  стеллажи. В крупных цехах применяют  машину для мытья функциональных емкостей. Кондитерские мешки сушат в электросушильном шкафу.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Готовые кондитерские изделия хранят в экспедиции, которую оборудуют холодильной  камерой, стеллажами, весами и производственными  столами.        Срок хранения кондитерских изделий от 7 до 36 ч.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Перевозят готовую продукцию в таре специальным транспортом. На каждом лотке должна быть этикетка с обозначением наименования и количества кондитерских изделий. Обязательно нужно указывать время выпуска продукции и фамилию укладчика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F646D8" w:rsidRPr="00112AFA" w:rsidRDefault="00F646D8" w:rsidP="00F646D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задание: ответить на вопросы</w:t>
      </w:r>
    </w:p>
    <w:p w:rsidR="00F646D8" w:rsidRPr="00112AFA" w:rsidRDefault="00F646D8" w:rsidP="00F646D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 xml:space="preserve">Как классифицируют </w:t>
      </w:r>
      <w:r>
        <w:rPr>
          <w:color w:val="000000"/>
          <w:sz w:val="28"/>
          <w:szCs w:val="28"/>
        </w:rPr>
        <w:t xml:space="preserve">рабочие места в </w:t>
      </w:r>
      <w:r w:rsidRPr="00112AFA">
        <w:rPr>
          <w:color w:val="000000"/>
          <w:sz w:val="28"/>
          <w:szCs w:val="28"/>
        </w:rPr>
        <w:t>конди</w:t>
      </w:r>
      <w:r>
        <w:rPr>
          <w:color w:val="000000"/>
          <w:sz w:val="28"/>
          <w:szCs w:val="28"/>
        </w:rPr>
        <w:t xml:space="preserve">терских </w:t>
      </w:r>
      <w:r w:rsidRPr="00112AFA">
        <w:rPr>
          <w:color w:val="000000"/>
          <w:sz w:val="28"/>
          <w:szCs w:val="28"/>
        </w:rPr>
        <w:t>цеха</w:t>
      </w:r>
      <w:r>
        <w:rPr>
          <w:color w:val="000000"/>
          <w:sz w:val="28"/>
          <w:szCs w:val="28"/>
        </w:rPr>
        <w:t>х</w:t>
      </w:r>
      <w:r w:rsidRPr="00112AFA">
        <w:rPr>
          <w:color w:val="000000"/>
          <w:sz w:val="28"/>
          <w:szCs w:val="28"/>
        </w:rPr>
        <w:t>?</w:t>
      </w:r>
    </w:p>
    <w:p w:rsidR="00F646D8" w:rsidRPr="00112AFA" w:rsidRDefault="00F646D8" w:rsidP="00F646D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зависит  состав помещений от ассортимента продукции?</w:t>
      </w:r>
    </w:p>
    <w:p w:rsidR="00F646D8" w:rsidRPr="00112AFA" w:rsidRDefault="00F646D8" w:rsidP="00F646D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Замес теста, разделка и выпечка производятся в одном помещении?</w:t>
      </w:r>
    </w:p>
    <w:p w:rsidR="00F646D8" w:rsidRDefault="00F646D8" w:rsidP="00F646D8"/>
    <w:p w:rsidR="00000000" w:rsidRDefault="00C0448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6D8"/>
    <w:rsid w:val="00C04485"/>
    <w:rsid w:val="00F6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2020-11-09T05:39:00Z</dcterms:created>
  <dcterms:modified xsi:type="dcterms:W3CDTF">2020-11-09T06:19:00Z</dcterms:modified>
</cp:coreProperties>
</file>