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D3" w:rsidRPr="008A37D8" w:rsidRDefault="009823D3" w:rsidP="009823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37D8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 (АМ-19)</w:t>
      </w:r>
    </w:p>
    <w:p w:rsidR="009823D3" w:rsidRDefault="009823D3" w:rsidP="00982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«Глагол. Правописание суффиксов и личных окончаний глаголов»</w:t>
      </w:r>
    </w:p>
    <w:p w:rsidR="009823D3" w:rsidRDefault="009823D3" w:rsidP="009823D3">
      <w:pPr>
        <w:pStyle w:val="a4"/>
        <w:ind w:firstLine="324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Если на окончание глагола падает ударение, то в нём пишется та гласная, которая слышится, например:</w:t>
      </w:r>
    </w:p>
    <w:p w:rsidR="009823D3" w:rsidRDefault="009823D3" w:rsidP="009823D3">
      <w:pPr>
        <w:pStyle w:val="primer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color w:val="000000"/>
          <w:sz w:val="31"/>
          <w:szCs w:val="31"/>
        </w:rPr>
        <w:t>нес</w:t>
      </w:r>
      <w:r>
        <w:rPr>
          <w:rStyle w:val="a5"/>
          <w:b/>
          <w:bCs/>
          <w:color w:val="000000"/>
          <w:sz w:val="31"/>
          <w:szCs w:val="31"/>
        </w:rPr>
        <w:t>ё</w:t>
      </w:r>
      <w:r>
        <w:rPr>
          <w:rStyle w:val="a5"/>
          <w:color w:val="000000"/>
          <w:sz w:val="31"/>
          <w:szCs w:val="31"/>
        </w:rPr>
        <w:t xml:space="preserve">т, </w:t>
      </w:r>
      <w:proofErr w:type="spellStart"/>
      <w:proofErr w:type="gramStart"/>
      <w:r>
        <w:rPr>
          <w:rStyle w:val="a5"/>
          <w:color w:val="000000"/>
          <w:sz w:val="31"/>
          <w:szCs w:val="31"/>
        </w:rPr>
        <w:t>сид</w:t>
      </w:r>
      <w:r>
        <w:rPr>
          <w:rStyle w:val="a5"/>
          <w:b/>
          <w:bCs/>
          <w:color w:val="000000"/>
          <w:sz w:val="31"/>
          <w:szCs w:val="31"/>
        </w:rPr>
        <w:t>и́</w:t>
      </w:r>
      <w:r>
        <w:rPr>
          <w:rStyle w:val="a5"/>
          <w:color w:val="000000"/>
          <w:sz w:val="31"/>
          <w:szCs w:val="31"/>
        </w:rPr>
        <w:t>шь</w:t>
      </w:r>
      <w:proofErr w:type="spellEnd"/>
      <w:proofErr w:type="gramEnd"/>
      <w:r>
        <w:rPr>
          <w:rStyle w:val="a5"/>
          <w:color w:val="000000"/>
          <w:sz w:val="31"/>
          <w:szCs w:val="31"/>
        </w:rPr>
        <w:t xml:space="preserve">, </w:t>
      </w:r>
      <w:proofErr w:type="spellStart"/>
      <w:r>
        <w:rPr>
          <w:rStyle w:val="a5"/>
          <w:color w:val="000000"/>
          <w:sz w:val="31"/>
          <w:szCs w:val="31"/>
        </w:rPr>
        <w:t>сто</w:t>
      </w:r>
      <w:r>
        <w:rPr>
          <w:rStyle w:val="a5"/>
          <w:b/>
          <w:bCs/>
          <w:color w:val="000000"/>
          <w:sz w:val="31"/>
          <w:szCs w:val="31"/>
        </w:rPr>
        <w:t>и́</w:t>
      </w:r>
      <w:r>
        <w:rPr>
          <w:rStyle w:val="a5"/>
          <w:color w:val="000000"/>
          <w:sz w:val="31"/>
          <w:szCs w:val="31"/>
        </w:rPr>
        <w:t>т</w:t>
      </w:r>
      <w:proofErr w:type="spellEnd"/>
    </w:p>
    <w:p w:rsidR="009823D3" w:rsidRDefault="009823D3" w:rsidP="009823D3">
      <w:pPr>
        <w:pStyle w:val="nex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В безударных личных окончаниях глаголов обычно невозможно определить на слух, какая гласная в нём пишется, например:</w:t>
      </w:r>
    </w:p>
    <w:p w:rsidR="009823D3" w:rsidRDefault="009823D3" w:rsidP="009823D3">
      <w:pPr>
        <w:pStyle w:val="primer"/>
        <w:jc w:val="center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Style w:val="a5"/>
          <w:color w:val="000000"/>
          <w:sz w:val="31"/>
          <w:szCs w:val="31"/>
        </w:rPr>
        <w:t>пи́ш</w:t>
      </w:r>
      <w:r>
        <w:rPr>
          <w:rStyle w:val="a5"/>
          <w:b/>
          <w:bCs/>
          <w:color w:val="000000"/>
          <w:sz w:val="31"/>
          <w:szCs w:val="31"/>
        </w:rPr>
        <w:t>у</w:t>
      </w:r>
      <w:r>
        <w:rPr>
          <w:rStyle w:val="a5"/>
          <w:color w:val="000000"/>
          <w:sz w:val="31"/>
          <w:szCs w:val="31"/>
        </w:rPr>
        <w:t>т</w:t>
      </w:r>
      <w:proofErr w:type="spellEnd"/>
      <w:r>
        <w:rPr>
          <w:rStyle w:val="a5"/>
          <w:color w:val="000000"/>
          <w:sz w:val="31"/>
          <w:szCs w:val="31"/>
        </w:rPr>
        <w:t xml:space="preserve">, </w:t>
      </w:r>
      <w:proofErr w:type="spellStart"/>
      <w:proofErr w:type="gramStart"/>
      <w:r>
        <w:rPr>
          <w:rStyle w:val="a5"/>
          <w:color w:val="000000"/>
          <w:sz w:val="31"/>
          <w:szCs w:val="31"/>
        </w:rPr>
        <w:t>слы́ш</w:t>
      </w:r>
      <w:r>
        <w:rPr>
          <w:rStyle w:val="a5"/>
          <w:b/>
          <w:bCs/>
          <w:color w:val="000000"/>
          <w:sz w:val="31"/>
          <w:szCs w:val="31"/>
        </w:rPr>
        <w:t>а</w:t>
      </w:r>
      <w:r>
        <w:rPr>
          <w:rStyle w:val="a5"/>
          <w:color w:val="000000"/>
          <w:sz w:val="31"/>
          <w:szCs w:val="31"/>
        </w:rPr>
        <w:t>т</w:t>
      </w:r>
      <w:proofErr w:type="spellEnd"/>
      <w:proofErr w:type="gramEnd"/>
    </w:p>
    <w:p w:rsidR="009823D3" w:rsidRDefault="009823D3" w:rsidP="009823D3">
      <w:pPr>
        <w:pStyle w:val="a4"/>
        <w:ind w:firstLine="324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prav"/>
          <w:rFonts w:ascii="Verdana" w:hAnsi="Verdana"/>
          <w:color w:val="004D1A"/>
          <w:sz w:val="23"/>
          <w:szCs w:val="23"/>
          <w:shd w:val="clear" w:color="auto" w:fill="FFFFCC"/>
        </w:rPr>
        <w:t>Чтобы определить, какую гласную надо написать в безударном личном окончании глагола, надо поставить глагол в неопределённую форму и определить его </w:t>
      </w:r>
      <w:hyperlink r:id="rId4" w:tgtFrame="_blank" w:history="1">
        <w:r>
          <w:rPr>
            <w:rStyle w:val="a3"/>
            <w:rFonts w:ascii="Verdana" w:hAnsi="Verdana"/>
            <w:color w:val="006E00"/>
            <w:sz w:val="23"/>
            <w:szCs w:val="23"/>
            <w:shd w:val="clear" w:color="auto" w:fill="FFFFCC"/>
          </w:rPr>
          <w:t>спряжение</w:t>
        </w:r>
      </w:hyperlink>
      <w:r>
        <w:rPr>
          <w:rFonts w:ascii="Verdana" w:hAnsi="Verdana"/>
          <w:color w:val="000000"/>
          <w:sz w:val="23"/>
          <w:szCs w:val="23"/>
        </w:rPr>
        <w:t>. От спряжения глагола и будет зависеть правописание безударного личного окончания.</w:t>
      </w:r>
    </w:p>
    <w:tbl>
      <w:tblPr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9"/>
        <w:gridCol w:w="2062"/>
        <w:gridCol w:w="1686"/>
        <w:gridCol w:w="1686"/>
      </w:tblGrid>
      <w:tr w:rsidR="009823D3" w:rsidTr="00E51CB3">
        <w:tc>
          <w:tcPr>
            <w:tcW w:w="0" w:type="auto"/>
            <w:vMerge w:val="restart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jc w:val="center"/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  <w:t>Число</w:t>
            </w:r>
          </w:p>
        </w:tc>
        <w:tc>
          <w:tcPr>
            <w:tcW w:w="0" w:type="auto"/>
            <w:vMerge w:val="restart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jc w:val="center"/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jc w:val="center"/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  <w:t>Окончания</w:t>
            </w:r>
          </w:p>
        </w:tc>
      </w:tr>
      <w:tr w:rsidR="009823D3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jc w:val="center"/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  <w:t>1 спряжение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jc w:val="center"/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  <w:t>2 спряжение</w:t>
            </w:r>
          </w:p>
        </w:tc>
      </w:tr>
      <w:tr w:rsidR="009823D3" w:rsidTr="00E51CB3">
        <w:tc>
          <w:tcPr>
            <w:tcW w:w="0" w:type="auto"/>
            <w:vMerge w:val="restart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jc w:val="center"/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  <w:t>Единственное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1-е – </w:t>
            </w:r>
            <w:r>
              <w:rPr>
                <w:rStyle w:val="a5"/>
                <w:color w:val="000000"/>
                <w:sz w:val="25"/>
                <w:szCs w:val="25"/>
              </w:rPr>
              <w:t>я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-у</w:t>
            </w:r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 xml:space="preserve"> (-</w:t>
            </w:r>
            <w:proofErr w:type="spellStart"/>
            <w:proofErr w:type="gramEnd"/>
            <w:r>
              <w:rPr>
                <w:rStyle w:val="a5"/>
                <w:color w:val="000000"/>
                <w:sz w:val="25"/>
                <w:szCs w:val="25"/>
              </w:rPr>
              <w:t>ю</w:t>
            </w:r>
            <w:proofErr w:type="spellEnd"/>
            <w:r>
              <w:rPr>
                <w:rStyle w:val="a5"/>
                <w:color w:val="000000"/>
                <w:sz w:val="25"/>
                <w:szCs w:val="25"/>
              </w:rPr>
              <w:t>)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-у</w:t>
            </w:r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 xml:space="preserve"> (-</w:t>
            </w:r>
            <w:proofErr w:type="spellStart"/>
            <w:proofErr w:type="gramEnd"/>
            <w:r>
              <w:rPr>
                <w:rStyle w:val="a5"/>
                <w:color w:val="000000"/>
                <w:sz w:val="25"/>
                <w:szCs w:val="25"/>
              </w:rPr>
              <w:t>ю</w:t>
            </w:r>
            <w:proofErr w:type="spellEnd"/>
            <w:r>
              <w:rPr>
                <w:rStyle w:val="a5"/>
                <w:color w:val="000000"/>
                <w:sz w:val="25"/>
                <w:szCs w:val="25"/>
              </w:rPr>
              <w:t>)</w:t>
            </w:r>
          </w:p>
        </w:tc>
      </w:tr>
      <w:tr w:rsidR="009823D3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2-е – </w:t>
            </w:r>
            <w:r>
              <w:rPr>
                <w:rStyle w:val="a5"/>
                <w:color w:val="000000"/>
                <w:sz w:val="25"/>
                <w:szCs w:val="25"/>
              </w:rPr>
              <w:t>ты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-ешь</w:t>
            </w:r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 xml:space="preserve"> (-</w:t>
            </w:r>
            <w:proofErr w:type="gramEnd"/>
            <w:r>
              <w:rPr>
                <w:rStyle w:val="a5"/>
                <w:color w:val="000000"/>
                <w:sz w:val="25"/>
                <w:szCs w:val="25"/>
              </w:rPr>
              <w:t>ёшь)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</w:t>
            </w:r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>ишь</w:t>
            </w:r>
            <w:proofErr w:type="gramEnd"/>
          </w:p>
        </w:tc>
      </w:tr>
      <w:tr w:rsidR="009823D3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3-е – </w:t>
            </w:r>
            <w:r>
              <w:rPr>
                <w:rStyle w:val="a5"/>
                <w:color w:val="000000"/>
                <w:sz w:val="25"/>
                <w:szCs w:val="25"/>
              </w:rPr>
              <w:t>он, она, оно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rStyle w:val="a5"/>
                <w:color w:val="000000"/>
                <w:sz w:val="25"/>
                <w:szCs w:val="25"/>
              </w:rPr>
              <w:t>ет</w:t>
            </w:r>
            <w:proofErr w:type="spellEnd"/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 xml:space="preserve"> (-</w:t>
            </w:r>
            <w:proofErr w:type="spellStart"/>
            <w:proofErr w:type="gramEnd"/>
            <w:r>
              <w:rPr>
                <w:rStyle w:val="a5"/>
                <w:color w:val="000000"/>
                <w:sz w:val="25"/>
                <w:szCs w:val="25"/>
              </w:rPr>
              <w:t>ёт</w:t>
            </w:r>
            <w:proofErr w:type="spellEnd"/>
            <w:r>
              <w:rPr>
                <w:rStyle w:val="a5"/>
                <w:color w:val="000000"/>
                <w:sz w:val="25"/>
                <w:szCs w:val="25"/>
              </w:rPr>
              <w:t>)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</w:t>
            </w:r>
            <w:proofErr w:type="spellStart"/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>ит</w:t>
            </w:r>
            <w:proofErr w:type="spellEnd"/>
            <w:proofErr w:type="gramEnd"/>
          </w:p>
        </w:tc>
      </w:tr>
      <w:tr w:rsidR="009823D3" w:rsidTr="00E51CB3">
        <w:tc>
          <w:tcPr>
            <w:tcW w:w="0" w:type="auto"/>
            <w:vMerge w:val="restart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jc w:val="center"/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  <w:t>Множественное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1-е – </w:t>
            </w:r>
            <w:r>
              <w:rPr>
                <w:rStyle w:val="a5"/>
                <w:color w:val="000000"/>
                <w:sz w:val="25"/>
                <w:szCs w:val="25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-ем</w:t>
            </w:r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 xml:space="preserve"> (-</w:t>
            </w:r>
            <w:proofErr w:type="gramEnd"/>
            <w:r>
              <w:rPr>
                <w:rStyle w:val="a5"/>
                <w:color w:val="000000"/>
                <w:sz w:val="25"/>
                <w:szCs w:val="25"/>
              </w:rPr>
              <w:t>ём)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-им</w:t>
            </w:r>
          </w:p>
        </w:tc>
      </w:tr>
      <w:tr w:rsidR="009823D3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2-е – </w:t>
            </w:r>
            <w:r>
              <w:rPr>
                <w:rStyle w:val="a5"/>
                <w:color w:val="000000"/>
                <w:sz w:val="25"/>
                <w:szCs w:val="25"/>
              </w:rPr>
              <w:t>вы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rStyle w:val="a5"/>
                <w:color w:val="000000"/>
                <w:sz w:val="25"/>
                <w:szCs w:val="25"/>
              </w:rPr>
              <w:t>ете</w:t>
            </w:r>
            <w:proofErr w:type="spellEnd"/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 xml:space="preserve"> (-</w:t>
            </w:r>
            <w:proofErr w:type="spellStart"/>
            <w:proofErr w:type="gramEnd"/>
            <w:r>
              <w:rPr>
                <w:rStyle w:val="a5"/>
                <w:color w:val="000000"/>
                <w:sz w:val="25"/>
                <w:szCs w:val="25"/>
              </w:rPr>
              <w:t>ёте</w:t>
            </w:r>
            <w:proofErr w:type="spellEnd"/>
            <w:r>
              <w:rPr>
                <w:rStyle w:val="a5"/>
                <w:color w:val="000000"/>
                <w:sz w:val="25"/>
                <w:szCs w:val="25"/>
              </w:rPr>
              <w:t>)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rStyle w:val="a5"/>
                <w:color w:val="000000"/>
                <w:sz w:val="25"/>
                <w:szCs w:val="25"/>
              </w:rPr>
              <w:t>ите</w:t>
            </w:r>
            <w:proofErr w:type="spellEnd"/>
          </w:p>
        </w:tc>
      </w:tr>
      <w:tr w:rsidR="009823D3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b/>
                <w:bCs/>
                <w:color w:val="CC52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3-е – </w:t>
            </w:r>
            <w:r>
              <w:rPr>
                <w:rStyle w:val="a5"/>
                <w:color w:val="000000"/>
                <w:sz w:val="25"/>
                <w:szCs w:val="25"/>
              </w:rPr>
              <w:t>они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rStyle w:val="a5"/>
                <w:color w:val="000000"/>
                <w:sz w:val="25"/>
                <w:szCs w:val="25"/>
              </w:rPr>
              <w:t>ут</w:t>
            </w:r>
            <w:proofErr w:type="spellEnd"/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 xml:space="preserve"> (-</w:t>
            </w:r>
            <w:proofErr w:type="gramEnd"/>
            <w:r>
              <w:rPr>
                <w:rStyle w:val="a5"/>
                <w:color w:val="000000"/>
                <w:sz w:val="25"/>
                <w:szCs w:val="25"/>
              </w:rPr>
              <w:t>ют)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Default="009823D3" w:rsidP="00E51C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rStyle w:val="a5"/>
                <w:color w:val="000000"/>
                <w:sz w:val="25"/>
                <w:szCs w:val="25"/>
              </w:rPr>
              <w:t>ат</w:t>
            </w:r>
            <w:proofErr w:type="spellEnd"/>
            <w:proofErr w:type="gramStart"/>
            <w:r>
              <w:rPr>
                <w:rStyle w:val="a5"/>
                <w:color w:val="000000"/>
                <w:sz w:val="25"/>
                <w:szCs w:val="25"/>
              </w:rPr>
              <w:t xml:space="preserve"> (-</w:t>
            </w:r>
            <w:proofErr w:type="spellStart"/>
            <w:proofErr w:type="gramEnd"/>
            <w:r>
              <w:rPr>
                <w:rStyle w:val="a5"/>
                <w:color w:val="000000"/>
                <w:sz w:val="25"/>
                <w:szCs w:val="25"/>
              </w:rPr>
              <w:t>ят</w:t>
            </w:r>
            <w:proofErr w:type="spellEnd"/>
            <w:r>
              <w:rPr>
                <w:rStyle w:val="a5"/>
                <w:color w:val="000000"/>
                <w:sz w:val="25"/>
                <w:szCs w:val="25"/>
              </w:rPr>
              <w:t>)</w:t>
            </w:r>
          </w:p>
        </w:tc>
      </w:tr>
    </w:tbl>
    <w:p w:rsidR="009823D3" w:rsidRDefault="009823D3" w:rsidP="009823D3">
      <w:pPr>
        <w:pStyle w:val="a4"/>
        <w:ind w:firstLine="324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Ко второму спряжения относятся глаголы, у которых неопределённая форма заканчивается на </w:t>
      </w:r>
      <w:proofErr w:type="gramStart"/>
      <w:r>
        <w:rPr>
          <w:rStyle w:val="a5"/>
          <w:color w:val="000000"/>
          <w:sz w:val="31"/>
          <w:szCs w:val="31"/>
        </w:rPr>
        <w:t>-</w:t>
      </w:r>
      <w:proofErr w:type="spellStart"/>
      <w:r>
        <w:rPr>
          <w:rStyle w:val="a5"/>
          <w:color w:val="000000"/>
          <w:sz w:val="31"/>
          <w:szCs w:val="31"/>
        </w:rPr>
        <w:t>и</w:t>
      </w:r>
      <w:proofErr w:type="gramEnd"/>
      <w:r>
        <w:rPr>
          <w:rStyle w:val="a5"/>
          <w:color w:val="000000"/>
          <w:sz w:val="31"/>
          <w:szCs w:val="31"/>
        </w:rPr>
        <w:t>ть</w:t>
      </w:r>
      <w:proofErr w:type="spellEnd"/>
      <w:r>
        <w:rPr>
          <w:rFonts w:ascii="Verdana" w:hAnsi="Verdana"/>
          <w:color w:val="000000"/>
          <w:sz w:val="23"/>
          <w:szCs w:val="23"/>
        </w:rPr>
        <w:t>:</w:t>
      </w:r>
    </w:p>
    <w:p w:rsidR="009823D3" w:rsidRDefault="009823D3" w:rsidP="009823D3">
      <w:pPr>
        <w:pStyle w:val="primer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color w:val="000000"/>
          <w:sz w:val="31"/>
          <w:szCs w:val="31"/>
        </w:rPr>
        <w:t>бес</w:t>
      </w:r>
      <w:r>
        <w:rPr>
          <w:rStyle w:val="a5"/>
          <w:b/>
          <w:bCs/>
          <w:color w:val="000000"/>
          <w:sz w:val="31"/>
          <w:szCs w:val="31"/>
        </w:rPr>
        <w:t>ить</w:t>
      </w:r>
      <w:r>
        <w:rPr>
          <w:rStyle w:val="a5"/>
          <w:color w:val="000000"/>
          <w:sz w:val="31"/>
          <w:szCs w:val="31"/>
        </w:rPr>
        <w:t>, снос</w:t>
      </w:r>
      <w:r>
        <w:rPr>
          <w:rStyle w:val="a5"/>
          <w:b/>
          <w:bCs/>
          <w:color w:val="000000"/>
          <w:sz w:val="31"/>
          <w:szCs w:val="31"/>
        </w:rPr>
        <w:t>ить</w:t>
      </w:r>
      <w:r>
        <w:rPr>
          <w:rStyle w:val="a5"/>
          <w:color w:val="000000"/>
          <w:sz w:val="31"/>
          <w:szCs w:val="31"/>
        </w:rPr>
        <w:t>, люб</w:t>
      </w:r>
      <w:r>
        <w:rPr>
          <w:rStyle w:val="a5"/>
          <w:b/>
          <w:bCs/>
          <w:color w:val="000000"/>
          <w:sz w:val="31"/>
          <w:szCs w:val="31"/>
        </w:rPr>
        <w:t>ить</w:t>
      </w:r>
    </w:p>
    <w:p w:rsidR="009823D3" w:rsidRDefault="009823D3" w:rsidP="009823D3">
      <w:pPr>
        <w:pStyle w:val="nex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Все остальные глаголы относятся к первому спряжению:</w:t>
      </w:r>
    </w:p>
    <w:p w:rsidR="009823D3" w:rsidRDefault="009823D3" w:rsidP="009823D3">
      <w:pPr>
        <w:pStyle w:val="primer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color w:val="000000"/>
          <w:sz w:val="31"/>
          <w:szCs w:val="31"/>
        </w:rPr>
        <w:t>гад</w:t>
      </w:r>
      <w:r>
        <w:rPr>
          <w:rStyle w:val="a5"/>
          <w:b/>
          <w:bCs/>
          <w:color w:val="000000"/>
          <w:sz w:val="31"/>
          <w:szCs w:val="31"/>
        </w:rPr>
        <w:t>ать</w:t>
      </w:r>
      <w:r>
        <w:rPr>
          <w:rStyle w:val="a5"/>
          <w:color w:val="000000"/>
          <w:sz w:val="31"/>
          <w:szCs w:val="31"/>
        </w:rPr>
        <w:t>, брос</w:t>
      </w:r>
      <w:r>
        <w:rPr>
          <w:rStyle w:val="a5"/>
          <w:b/>
          <w:bCs/>
          <w:color w:val="000000"/>
          <w:sz w:val="31"/>
          <w:szCs w:val="31"/>
        </w:rPr>
        <w:t>ать</w:t>
      </w:r>
      <w:r>
        <w:rPr>
          <w:rStyle w:val="a5"/>
          <w:color w:val="000000"/>
          <w:sz w:val="31"/>
          <w:szCs w:val="31"/>
        </w:rPr>
        <w:t>, тян</w:t>
      </w:r>
      <w:r>
        <w:rPr>
          <w:rStyle w:val="a5"/>
          <w:b/>
          <w:bCs/>
          <w:color w:val="000000"/>
          <w:sz w:val="31"/>
          <w:szCs w:val="31"/>
        </w:rPr>
        <w:t>уть</w:t>
      </w:r>
    </w:p>
    <w:p w:rsidR="009823D3" w:rsidRDefault="009823D3" w:rsidP="009823D3">
      <w:pPr>
        <w:pStyle w:val="a4"/>
        <w:ind w:firstLine="324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red"/>
          <w:rFonts w:ascii="Verdana" w:hAnsi="Verdana"/>
          <w:b/>
          <w:bCs/>
          <w:color w:val="FF0000"/>
          <w:sz w:val="23"/>
          <w:szCs w:val="23"/>
        </w:rPr>
        <w:t>Примечание:</w:t>
      </w:r>
      <w:r>
        <w:rPr>
          <w:rFonts w:ascii="Verdana" w:hAnsi="Verdana"/>
          <w:color w:val="000000"/>
          <w:sz w:val="23"/>
          <w:szCs w:val="23"/>
        </w:rPr>
        <w:t> не забывайте про </w:t>
      </w:r>
      <w:hyperlink r:id="rId5" w:tgtFrame="_blank" w:history="1">
        <w:r>
          <w:rPr>
            <w:rStyle w:val="a3"/>
            <w:rFonts w:ascii="Verdana" w:hAnsi="Verdana"/>
            <w:color w:val="006E00"/>
            <w:sz w:val="23"/>
            <w:szCs w:val="23"/>
          </w:rPr>
          <w:t>глаголы-исключения 1-ого и 2-ого спряжения</w:t>
        </w:r>
      </w:hyperlink>
      <w:r>
        <w:rPr>
          <w:rFonts w:ascii="Verdana" w:hAnsi="Verdana"/>
          <w:color w:val="000000"/>
          <w:sz w:val="23"/>
          <w:szCs w:val="23"/>
        </w:rPr>
        <w:t> и </w:t>
      </w:r>
      <w:hyperlink r:id="rId6" w:anchor="a3" w:tgtFrame="_blank" w:history="1">
        <w:r>
          <w:rPr>
            <w:rStyle w:val="a3"/>
            <w:rFonts w:ascii="Verdana" w:hAnsi="Verdana"/>
            <w:color w:val="006E00"/>
            <w:sz w:val="23"/>
            <w:szCs w:val="23"/>
          </w:rPr>
          <w:t>разноспрягаемые глаголы</w:t>
        </w:r>
      </w:hyperlink>
      <w:r>
        <w:rPr>
          <w:rFonts w:ascii="Verdana" w:hAnsi="Verdana"/>
          <w:color w:val="000000"/>
          <w:sz w:val="23"/>
          <w:szCs w:val="23"/>
        </w:rPr>
        <w:t>.</w:t>
      </w:r>
    </w:p>
    <w:p w:rsidR="009823D3" w:rsidRPr="00702258" w:rsidRDefault="009823D3" w:rsidP="009823D3">
      <w:pPr>
        <w:spacing w:before="100" w:beforeAutospacing="1" w:after="100" w:afterAutospacing="1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Рассмотрим безударные личные окончания глаголов </w:t>
      </w: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скакать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 </w:t>
      </w: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варить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Сначала определим их спряжение: глагол </w:t>
      </w: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скакать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оканчивается на </w:t>
      </w:r>
      <w:proofErr w:type="spellStart"/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ать</w:t>
      </w:r>
      <w:proofErr w:type="spellEnd"/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– это 1 спряжение, глагол </w:t>
      </w: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варить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оканчивается на </w:t>
      </w:r>
      <w:proofErr w:type="spellStart"/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ить</w:t>
      </w:r>
      <w:proofErr w:type="spellEnd"/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– 2 спряжение. Проспрягаем оба глагола и выделим их личные окончания:</w:t>
      </w:r>
    </w:p>
    <w:tbl>
      <w:tblPr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9"/>
        <w:gridCol w:w="2034"/>
        <w:gridCol w:w="1088"/>
        <w:gridCol w:w="1003"/>
      </w:tblGrid>
      <w:tr w:rsidR="009823D3" w:rsidRPr="00702258" w:rsidTr="00E51CB3">
        <w:tc>
          <w:tcPr>
            <w:tcW w:w="0" w:type="auto"/>
            <w:vMerge w:val="restart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0" w:type="auto"/>
            <w:vMerge w:val="restart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  <w:t>Окончания</w:t>
            </w:r>
          </w:p>
        </w:tc>
      </w:tr>
      <w:tr w:rsidR="009823D3" w:rsidRPr="00702258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  <w:t>скакать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  <w:t>варить</w:t>
            </w:r>
          </w:p>
        </w:tc>
      </w:tr>
      <w:tr w:rsidR="009823D3" w:rsidRPr="00702258" w:rsidTr="00E51CB3">
        <w:tc>
          <w:tcPr>
            <w:tcW w:w="0" w:type="auto"/>
            <w:vMerge w:val="restart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  <w:t>Единственное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1-е – </w:t>
            </w: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скач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вар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ю</w:t>
            </w:r>
          </w:p>
        </w:tc>
      </w:tr>
      <w:tr w:rsidR="009823D3" w:rsidRPr="00702258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2-е – </w:t>
            </w: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ты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скач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ешь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вар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ишь</w:t>
            </w:r>
          </w:p>
        </w:tc>
      </w:tr>
      <w:tr w:rsidR="009823D3" w:rsidRPr="00702258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3-е – </w:t>
            </w: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он, она, оно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скач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вар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ит</w:t>
            </w:r>
          </w:p>
        </w:tc>
      </w:tr>
      <w:tr w:rsidR="009823D3" w:rsidRPr="00702258" w:rsidTr="00E51CB3">
        <w:tc>
          <w:tcPr>
            <w:tcW w:w="0" w:type="auto"/>
            <w:vMerge w:val="restart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  <w:t>Множественное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1-е – </w:t>
            </w: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скач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ем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вар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им</w:t>
            </w:r>
          </w:p>
        </w:tc>
      </w:tr>
      <w:tr w:rsidR="009823D3" w:rsidRPr="00702258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2-е – </w:t>
            </w: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вы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скач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ете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вар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ите</w:t>
            </w:r>
          </w:p>
        </w:tc>
      </w:tr>
      <w:tr w:rsidR="009823D3" w:rsidRPr="00702258" w:rsidTr="00E51CB3">
        <w:tc>
          <w:tcPr>
            <w:tcW w:w="0" w:type="auto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3-е – </w:t>
            </w: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они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скач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ут</w:t>
            </w:r>
          </w:p>
        </w:tc>
        <w:tc>
          <w:tcPr>
            <w:tcW w:w="0" w:type="auto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tcMar>
              <w:top w:w="52" w:type="dxa"/>
              <w:left w:w="91" w:type="dxa"/>
              <w:bottom w:w="52" w:type="dxa"/>
              <w:right w:w="91" w:type="dxa"/>
            </w:tcMar>
            <w:vAlign w:val="center"/>
            <w:hideMark/>
          </w:tcPr>
          <w:p w:rsidR="009823D3" w:rsidRPr="00702258" w:rsidRDefault="009823D3" w:rsidP="00E51C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вар</w:t>
            </w:r>
            <w:r w:rsidRPr="00702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ят</w:t>
            </w:r>
          </w:p>
        </w:tc>
      </w:tr>
    </w:tbl>
    <w:p w:rsidR="009823D3" w:rsidRPr="00702258" w:rsidRDefault="009823D3" w:rsidP="009823D3">
      <w:pPr>
        <w:spacing w:before="100" w:beforeAutospacing="1" w:after="100" w:afterAutospacing="1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Обратите внимание на глагол </w:t>
      </w: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стлать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</w:t>
      </w: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постлать, разостлать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 т.п.), он имеет ещё одну форму – </w:t>
      </w: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стелить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</w:t>
      </w: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постелить, расстелить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 т.п.). Личные окончания употребляются только от формы </w:t>
      </w: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стлать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то есть 1-ого спряжения:</w:t>
      </w:r>
    </w:p>
    <w:p w:rsidR="009823D3" w:rsidRPr="00702258" w:rsidRDefault="009823D3" w:rsidP="009823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02258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стелю, стелешь, стелют, стелем</w:t>
      </w:r>
      <w:r w:rsidRPr="0070225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 т.д.</w:t>
      </w:r>
    </w:p>
    <w:p w:rsidR="009823D3" w:rsidRPr="00D42F03" w:rsidRDefault="009823D3" w:rsidP="009823D3">
      <w:pPr>
        <w:pStyle w:val="2"/>
        <w:spacing w:before="240" w:after="240" w:line="360" w:lineRule="atLeast"/>
        <w:rPr>
          <w:rFonts w:ascii="Times New Roman" w:hAnsi="Times New Roman" w:cs="Times New Roman"/>
          <w:color w:val="137C48"/>
          <w:sz w:val="24"/>
          <w:szCs w:val="24"/>
        </w:rPr>
      </w:pPr>
      <w:r w:rsidRPr="00D42F03">
        <w:rPr>
          <w:rFonts w:ascii="Times New Roman" w:hAnsi="Times New Roman" w:cs="Times New Roman"/>
          <w:color w:val="137C48"/>
          <w:sz w:val="24"/>
          <w:szCs w:val="24"/>
        </w:rPr>
        <w:t>Безударные личные окончания глаголов</w:t>
      </w:r>
    </w:p>
    <w:p w:rsidR="009823D3" w:rsidRPr="00D42F03" w:rsidRDefault="009823D3" w:rsidP="009823D3">
      <w:pPr>
        <w:spacing w:line="360" w:lineRule="atLeast"/>
        <w:rPr>
          <w:rFonts w:ascii="Times New Roman" w:hAnsi="Times New Roman" w:cs="Times New Roman"/>
          <w:color w:val="0C0E0D"/>
          <w:sz w:val="24"/>
          <w:szCs w:val="24"/>
        </w:rPr>
      </w:pPr>
      <w:r w:rsidRPr="00D42F03">
        <w:rPr>
          <w:rFonts w:ascii="Times New Roman" w:hAnsi="Times New Roman" w:cs="Times New Roman"/>
          <w:color w:val="0C0E0D"/>
          <w:sz w:val="24"/>
          <w:szCs w:val="24"/>
        </w:rPr>
        <w:t>Написание безударных окончаний глаголов зависит от того, к какому спряжению (первому или второму) принадлежит слово.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Ко II СПРЯЖЕНИЮ относятся все глаголы, в неопределенной форме оканчивающиеся на 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–И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ТЬ (например: ЛЕПИТЬ, ЧИСТИТЬ, МАСТЕРИТЬ), а также 11 глаголов-исключений, из которых четыре оканчиваются на 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–А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>ТЬ (ГНАТЬ, ДЫШАТЬ, ДЕРЖАТЬ, СЛЫШАТЬ) и 7 оканчиваются на –ЕТЬ (ЗАВИСЕТЬ, ВИДЕТЬ, ОБИДЕТЬ, ТЕРПЕТЬ, ВЕРТЕТЬ, НЕНАВИДЕТЬ, СМОТРЕТЬ).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Необходимо запомнить, что в окончаниях глаголов II спряжения пишутся буквы И, А, Я (-ишь, 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-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и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 -им, -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ите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 -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ат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 -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ят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). Например: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зависИшь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зависИт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зависИте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зависЯт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.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К I СПРЯЖЕНИЮ относятся остальные глаголы, то есть те, неопределенная форма которых оканчивается не на 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–И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>ТЬ (а на –ОТЬ, -УТЬ, -ЕТЬ, -АТЬ, -ТИ и т. д.), а также три глагола-исключения: БРИТЬ, СТЕЛИТЬ, ЗИЖДИТЬСЯ.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Необходимо запомнить, что в окончаниях глаголов I спряжения пишутся буквы Е, У, 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Ю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(-ешь, -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ет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 -ем, -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ете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 -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ут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-ют). Например: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лепечЕшь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лепечЕт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лепечЕте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лепечУт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.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lastRenderedPageBreak/>
        <w:t>Обратите внимание: в русском языке есть небольшая группа глаголов, которые имеют окончания и первого, и второго спряжения вперемешку. Например, глагол ХОТЕТЬ в ед. числе имеет окончания первого спряжения (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хочЕшь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хочЕт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), а во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множ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. числе – второго (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хотИм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хотИте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хотЯт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). Такие глаголы называются разноспрягаемыми, и написание окончаний в них нужно проверять по словарю или запоминать. К этой группе относятся слова: ХОТЕТЬ, БЕЖАТЬ, ДАТЬ, ЕСТЬ, БРЕЗЖИТЬ.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>Упражнение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1. Князь Андрей ясно видел, что старик надеялся, что чувство его или его будущей невесты не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выдерж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испытания года… (Л. Толстой)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2. Так гений радостно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трепещ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>Свое величье познаёт,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Когда пред ним гремит и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блещ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>И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>ного гения полёт. (Н. Языков)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3. Страшно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стан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а тут, – точно как будто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заслыш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кого-то, – чей-то голос, как будто кто-то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шепч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… (Ф. Достоевский)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4.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Вникн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м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во все это хорошенько, и вместо негодования сердце наше исполнится искренним состраданием. (А. Пушкин)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5.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Одича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зна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те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буд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все время жить взаперти. (Н. Гоголь)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6. Они скоро знакомятся, и не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успе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оглянуться, как уже говорят тебе «ты». (Н. Гоголь)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7. Ах, я часто 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бываю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неосторожна, но не думала, что вы слова мои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прим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те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за колкую шутку. (Ф. Достоевский)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8. Ты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вид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ли, я его давно знаю, и Машеньку, твою золовку, люблю. (Л. Толстой)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9. Золовки – колотовки, ну а уж эта мухи не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обид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. (Л. Толстой)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10. Пусть безумствует море и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хлещ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>Гребни волн поднялись в небеса,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Ни один пред грозой не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трепещ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>Ни один не свернет паруса. (Н. Гумилев)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lastRenderedPageBreak/>
        <w:t xml:space="preserve">11. Посылаю тебе,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Постум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 эти книги.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Что в столице? Мягко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стел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? Спать не жестко?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>Как там Цезарь… (И. Бродский)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12. И пышный пир как будто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дремл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>Безмолвны гости, хор молчит. (А. Пушкин)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13. Трата и труд, вечные 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приспешники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доблести,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Бор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тся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за скрытый в опасностях подвиг.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За кем успех – тот и мудр 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в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мнении людском... (Пиндар)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14. Он чувствовал, что его занятия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происход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независимо от дела, что они не цепляют за дело и не заставляют его двигаться. (Л. Толстой)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15. – С Безуховой водиться я не люблю и не посоветую; ну, да уж если обещала, поезжай,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рассе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шься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, – прибавила она, обращаясь к Наташе. (Л. Толстой)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16. 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Исполнив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таким образом высший закон, ты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обрящ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следы древнего, утраченного тобой величества. (Л. Толстой)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17. Так и знал, – заговорил дядюшка (это был дальний родственник, небогатый сосед Ростовых), – так и знал, что не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вытерп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и хорошо, что </w:t>
      </w:r>
      <w:proofErr w:type="spellStart"/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ед</w:t>
      </w:r>
      <w:proofErr w:type="gramEnd"/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шь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>. Чистое дело марш! (Л. Толстой)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18. И все они борются и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страда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и мучают, и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по</w:t>
      </w:r>
      <w:proofErr w:type="gram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рт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св</w:t>
      </w:r>
      <w:proofErr w:type="gramEnd"/>
      <w:r w:rsidRPr="00D42F03">
        <w:rPr>
          <w:rFonts w:ascii="Times New Roman" w:hAnsi="Times New Roman" w:cs="Times New Roman"/>
          <w:color w:val="0C0E0D"/>
          <w:sz w:val="24"/>
          <w:szCs w:val="24"/>
        </w:rPr>
        <w:t>ою душу, свою вечную душу, для достижения благ, которым срок есть мгновенье. (Л. Толстой)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19. У нас растворили окошко; солнышко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свет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, птички чирикают, воздух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дыш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весенними ароматами, и вся природа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оживля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тся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– ну, и остальное там все было тоже соответственное… (Ф. Достоевский)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br/>
        <w:t xml:space="preserve">20. Человек оскорбил вас, и вы убили его, и вы говорите, что вы не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зна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те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Бога, и что вы </w:t>
      </w:r>
      <w:proofErr w:type="spellStart"/>
      <w:r w:rsidRPr="00D42F03">
        <w:rPr>
          <w:rFonts w:ascii="Times New Roman" w:hAnsi="Times New Roman" w:cs="Times New Roman"/>
          <w:color w:val="0C0E0D"/>
          <w:sz w:val="24"/>
          <w:szCs w:val="24"/>
        </w:rPr>
        <w:t>ненавид</w:t>
      </w:r>
      <w:r w:rsidRPr="00D42F03"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4" w:space="0" w:color="000000" w:frame="1"/>
          <w:shd w:val="clear" w:color="auto" w:fill="FEE16D"/>
        </w:rPr>
        <w:t>_</w:t>
      </w:r>
      <w:r w:rsidRPr="00D42F03">
        <w:rPr>
          <w:rFonts w:ascii="Times New Roman" w:hAnsi="Times New Roman" w:cs="Times New Roman"/>
          <w:color w:val="0C0E0D"/>
          <w:sz w:val="24"/>
          <w:szCs w:val="24"/>
        </w:rPr>
        <w:t>те</w:t>
      </w:r>
      <w:proofErr w:type="spellEnd"/>
      <w:r w:rsidRPr="00D42F03">
        <w:rPr>
          <w:rFonts w:ascii="Times New Roman" w:hAnsi="Times New Roman" w:cs="Times New Roman"/>
          <w:color w:val="0C0E0D"/>
          <w:sz w:val="24"/>
          <w:szCs w:val="24"/>
        </w:rPr>
        <w:t xml:space="preserve"> свою жизнь. (Л. Толстой)</w:t>
      </w:r>
    </w:p>
    <w:p w:rsidR="009823D3" w:rsidRPr="00D42F03" w:rsidRDefault="009823D3" w:rsidP="0098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0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9823D3" w:rsidRDefault="009823D3" w:rsidP="00982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правила в тетрадь и выполнить задание.</w:t>
      </w:r>
    </w:p>
    <w:p w:rsidR="00957837" w:rsidRDefault="00957837"/>
    <w:sectPr w:rsidR="00957837" w:rsidSect="0095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23D3"/>
    <w:rsid w:val="00390549"/>
    <w:rsid w:val="00957837"/>
    <w:rsid w:val="0098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3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2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823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8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23D3"/>
    <w:rPr>
      <w:i/>
      <w:iCs/>
    </w:rPr>
  </w:style>
  <w:style w:type="paragraph" w:customStyle="1" w:styleId="next">
    <w:name w:val="next"/>
    <w:basedOn w:val="a"/>
    <w:rsid w:val="0098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av">
    <w:name w:val="prav"/>
    <w:basedOn w:val="a0"/>
    <w:rsid w:val="009823D3"/>
  </w:style>
  <w:style w:type="character" w:customStyle="1" w:styleId="red">
    <w:name w:val="red"/>
    <w:basedOn w:val="a0"/>
    <w:rsid w:val="009823D3"/>
  </w:style>
  <w:style w:type="character" w:customStyle="1" w:styleId="mistake">
    <w:name w:val="mistake"/>
    <w:basedOn w:val="a0"/>
    <w:rsid w:val="0098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obumium.info/russkiy/spryajenie_glagolov.php" TargetMode="External"/><Relationship Id="rId5" Type="http://schemas.openxmlformats.org/officeDocument/2006/relationships/hyperlink" Target="https://naobumium.info/russkiy/glagoly_isklyucheniya.php" TargetMode="External"/><Relationship Id="rId4" Type="http://schemas.openxmlformats.org/officeDocument/2006/relationships/hyperlink" Target="https://naobumium.info/russkiy/spryajenie_glagol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2020-03-26T04:54:00Z</dcterms:created>
  <dcterms:modified xsi:type="dcterms:W3CDTF">2020-03-26T04:55:00Z</dcterms:modified>
</cp:coreProperties>
</file>