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6A1">
        <w:rPr>
          <w:rFonts w:ascii="Times New Roman" w:hAnsi="Times New Roman" w:cs="Times New Roman"/>
          <w:b/>
          <w:bCs/>
          <w:sz w:val="28"/>
          <w:szCs w:val="28"/>
        </w:rPr>
        <w:t>ПОВЫШЕНИЕ ЭКОНОМИЧНОСТИ КОТЕЛЬНЫХ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6A1">
        <w:rPr>
          <w:rFonts w:ascii="Times New Roman" w:hAnsi="Times New Roman" w:cs="Times New Roman"/>
          <w:b/>
          <w:bCs/>
          <w:sz w:val="28"/>
          <w:szCs w:val="28"/>
        </w:rPr>
        <w:t>УСТАНОВОК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Повышение экономичности котельных установок достигается путем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применения комплекса пуско-наладочных и режимно</w:t>
      </w:r>
      <w:r w:rsidRPr="009616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16A1">
        <w:rPr>
          <w:rFonts w:ascii="Times New Roman" w:hAnsi="Times New Roman" w:cs="Times New Roman"/>
          <w:sz w:val="28"/>
          <w:szCs w:val="28"/>
        </w:rPr>
        <w:t>наладочных работ,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повышающих экономическую эффективность технологических показателей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котельного оборудования, и мероприятиями малой и капитальной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модернизации.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К мероприятиям комплекса режимно-наладочных работ и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мероприятиям малой модернизации,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с целью энергосбережения,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относятся: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1. Систематические наладочные режимные испытания.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2. Повышение экономичности работы топочных устройств путем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ликвидации потерь теплоты от химической неполноты горения.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3. Снижение потерь теплоты от механической неполноты горения.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4. Уменьшение коэффициента избытка воздуха в топке.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5. Систематический надзор за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газовым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и воздушным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трактами.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6. Улучшение работы конвективных поверхностей нагрева.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7. Снижение сопротивлений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газовоздушного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8. Экономичное распределение нагрузки между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котлоагрегатами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>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9. Изоляция горючих поверхностей.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10. Внедрение экономичных способов регулирования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производительности тягодутьевых машин.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Малая модернизация оборудования не требует больших затрат и, как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правило, может быть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собственными силами предприятия в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короткий срок.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Практика показала, что за счет малой модернизации и повышения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культуры эксплуатации в промышленных и отопительных котельных можно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получить до 10–15 % экономии топлива.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К мероприятиям капитальной модернизации относятся: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1. Полная замена котельных агрегатов.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2. Замена топочных устройств.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3. Установка хвостовых поверхностей нагрева.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4. Экранирование топочной камеры.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5. Реконструкция или замена оборудования водоподготовки.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6. Установка теплофикационных экономайзеров.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7. Автоматизация процесса горения.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8. Автоматизация регулирования температуры перегрева пара.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9. Перевод паровых котлов на водогрейный режим.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Режимная карта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составляется в результате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>-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наладочных испытаний. В ней указываются основные параметры,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6A1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которых обеспечивает наиболее экономичный режим работы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. Поддержание заданного режима осуществляет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персонал или система автоматического регулирования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>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Режимная карта должна быть составлена для всех промежуточных нагрузок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котла от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до максимальной.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lastRenderedPageBreak/>
        <w:t>Одной из основных задач эксплуатации котельных установок является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экономия сжигаемого топлива. Для решения этой задачи необходимо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систематически анализировать режим работы котельной установки и на базе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показаний контрольно-измерительных приборов составлять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эксплуатационный тепловой баланс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>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Поэтому оперативный персонал должен вести суточную ведомость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оборудования котельного цеха, снимать и обрабатывать показания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регистрирующих приборов. Обычно запись показаний измерительных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приборов производят через каждые 30 мин, а счетчиков, указывающих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расход пара, воды газообразного или жидкого топлива, – через каждый час.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Инженерно-технический персонал, отвечающий за эксплуатацию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оборудования (начальник цеха, старший мастер или мастер), ежедневно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просматривает суточную ведомость работы и вахтенный журнал.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Это позволяет выявить отклонение отдельных параметров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оптимальных значений, проанализировать среднесменные показатели,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характеризующие экономичность работы и качество обслуживания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оборудования персоналом.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Основные показатели работы оборудования обрабатываются за декаду,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а затем за месяц с составлением и анализом отдельных статей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теплового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баланса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>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экономичность работы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котла на газообразном и жидком топливе, являются: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1. Давление и температура перегретого пара.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2. Расход пара и питательной воды.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3. Содержание трехатомных газов и кислорода в продуктах сгорания.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Температура питательной воды до экономайзера и после него (для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16A1">
        <w:rPr>
          <w:rFonts w:ascii="Times New Roman" w:hAnsi="Times New Roman" w:cs="Times New Roman"/>
          <w:sz w:val="28"/>
          <w:szCs w:val="28"/>
        </w:rPr>
        <w:t>некипящих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экономайзеров).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5. Температура воздуха, забираемого вентилятором, и температура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после воздухоподогревателя 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6. Температура уходящих газов.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7. Расход электроэнергии на привод агрегатов для собственных нужд.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При работе на твердом топливе дополнительно к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показателям добавляется определение содержания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горючих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в шлаке, а также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низшая теплота сгорания рабочей массы топлива.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Улучшение работы конвективных поверхностей нагрева достигается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соответствующим расположением перегородок, направляющих продукты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сгорания, и их целостью, а также систематической очисткой наружной и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внутренней поверхности труб.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При эксплуатации котельных с паровыми и водогрейными котлами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при сжигании любого топлива недопустимо отклонение параметров пара и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воды от номинальных значений, так как это приводит к перерасходу топлива.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Однако на практике поддержанию номинальных параметров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промышленных и отопительных котельных не уделяется должного внимания.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Работа паровых котлов с пониженным давлением приводит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уменьшению К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ПД всл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>едствие двух причин: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1. Из-за необходимости снижения температуры воды после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чугунного водяного экономайзера во избежание ее закипания.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пара при снижении давления заметно возрастает, что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приводит к увеличению скорости пара в барабане котла и в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сепарационных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6A1">
        <w:rPr>
          <w:rFonts w:ascii="Times New Roman" w:hAnsi="Times New Roman" w:cs="Times New Roman"/>
          <w:sz w:val="28"/>
          <w:szCs w:val="28"/>
        </w:rPr>
        <w:t>устройствах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>, т.е. к повышению влажности пара и к росту его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солесодержания.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Существенное влияние на общий расход топлива котельным цехом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оказывает распределение общей нагрузки между установленными котлами и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выбор числа работающих колов для покрытия заданного графика нагрузок.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Наивыгоднейшее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распределение общей нагрузки между котельными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агрегатами может производиться методами: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1. Методом поддержания наибольшего КПД.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2. Методом загрузки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пропорционально их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номинальной производительности и равенства относительных приростов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расхода топлива при измерении производительности.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Метод поддержания наибольшего КПД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заключается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в том, что сначала загружаются наиболее экономичные котлы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номинальной производительности, затем последовательно менее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экономичные.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Метод загрузки </w:t>
      </w:r>
      <w:proofErr w:type="spellStart"/>
      <w:r w:rsidRPr="009616A1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9616A1">
        <w:rPr>
          <w:rFonts w:ascii="Times New Roman" w:hAnsi="Times New Roman" w:cs="Times New Roman"/>
          <w:sz w:val="28"/>
          <w:szCs w:val="28"/>
        </w:rPr>
        <w:t xml:space="preserve"> пропорционально их номинальной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 xml:space="preserve">производительности заключается в том, что общая нагрузка распределяется </w:t>
      </w:r>
      <w:proofErr w:type="gramStart"/>
      <w:r w:rsidRPr="009616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16A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616A1">
        <w:rPr>
          <w:rFonts w:ascii="Times New Roman" w:hAnsi="Times New Roman" w:cs="Times New Roman"/>
          <w:sz w:val="28"/>
          <w:szCs w:val="28"/>
        </w:rPr>
        <w:t xml:space="preserve"> номинальной производительности котлов и равенства</w:t>
      </w:r>
    </w:p>
    <w:p w:rsidR="009616A1" w:rsidRPr="009616A1" w:rsidRDefault="009616A1" w:rsidP="0096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A1">
        <w:rPr>
          <w:rFonts w:ascii="Times New Roman" w:hAnsi="Times New Roman" w:cs="Times New Roman"/>
          <w:sz w:val="28"/>
          <w:szCs w:val="28"/>
        </w:rPr>
        <w:t>относительных приростов расхода топлива при изменении</w:t>
      </w:r>
    </w:p>
    <w:p w:rsidR="00612D98" w:rsidRPr="009616A1" w:rsidRDefault="009616A1" w:rsidP="009616A1">
      <w:pPr>
        <w:rPr>
          <w:rFonts w:ascii="Times New Roman" w:hAnsi="Times New Roman" w:cs="Times New Roman"/>
        </w:rPr>
      </w:pPr>
      <w:r w:rsidRPr="009616A1">
        <w:rPr>
          <w:rFonts w:ascii="Times New Roman" w:hAnsi="Times New Roman" w:cs="Times New Roman"/>
          <w:sz w:val="28"/>
          <w:szCs w:val="28"/>
        </w:rPr>
        <w:t>производительности.</w:t>
      </w:r>
    </w:p>
    <w:sectPr w:rsidR="00612D98" w:rsidRPr="009616A1" w:rsidSect="00961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6A1"/>
    <w:rsid w:val="00612D98"/>
    <w:rsid w:val="009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Company>GET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2019-04-16T00:01:00Z</dcterms:created>
  <dcterms:modified xsi:type="dcterms:W3CDTF">2019-04-16T00:04:00Z</dcterms:modified>
</cp:coreProperties>
</file>