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8B" w:rsidRPr="001419E3" w:rsidRDefault="00E7168B" w:rsidP="00E7168B">
      <w:pPr>
        <w:rPr>
          <w:rFonts w:ascii="Times New Roman" w:hAnsi="Times New Roman" w:cs="Times New Roman"/>
          <w:sz w:val="24"/>
          <w:szCs w:val="24"/>
        </w:rPr>
      </w:pPr>
      <w:r w:rsidRPr="001419E3">
        <w:rPr>
          <w:rFonts w:ascii="Times New Roman" w:hAnsi="Times New Roman" w:cs="Times New Roman"/>
          <w:sz w:val="24"/>
          <w:szCs w:val="24"/>
        </w:rPr>
        <w:t>Урок 135. Выбор сроков испытания защитных средств и приспособлений в соответствии с нормативными документами.</w:t>
      </w:r>
    </w:p>
    <w:p w:rsidR="008D4626" w:rsidRPr="001419E3" w:rsidRDefault="008D4626" w:rsidP="00E7168B">
      <w:pPr>
        <w:rPr>
          <w:rFonts w:ascii="Times New Roman" w:hAnsi="Times New Roman" w:cs="Times New Roman"/>
          <w:sz w:val="28"/>
          <w:szCs w:val="28"/>
        </w:rPr>
      </w:pPr>
      <w:r w:rsidRPr="001419E3">
        <w:rPr>
          <w:rFonts w:ascii="Times New Roman" w:hAnsi="Times New Roman" w:cs="Times New Roman"/>
          <w:sz w:val="24"/>
          <w:szCs w:val="24"/>
        </w:rPr>
        <w:t xml:space="preserve">Выбор сроков испытания </w:t>
      </w:r>
      <w:r w:rsidRPr="001419E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</w:t>
      </w:r>
      <w:r w:rsidRPr="001419E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напряжения</w:t>
      </w:r>
      <w:r w:rsidRPr="001419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3AA" w:rsidRPr="001419E3" w:rsidRDefault="005D03AA" w:rsidP="008D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8D4626"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Указатели напряжения — переносные приборы, предназначенные для проверки наличия или отсутствия напряжения на токоведущих частях. </w:t>
      </w:r>
    </w:p>
    <w:p w:rsidR="008D4626" w:rsidRPr="008D4626" w:rsidRDefault="005D03AA" w:rsidP="008D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14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D4626"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 проверка необходима, например, при работе непосредственно на отключенных токоведущих частях, при контроле исправности электроустановок, отыскании повреждений в электроустановке, проверке электрической схемы и т.п.</w:t>
      </w:r>
    </w:p>
    <w:p w:rsidR="008D4626" w:rsidRPr="008D4626" w:rsidRDefault="008D4626" w:rsidP="008D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этих случаях требуется установить лишь наличие или отсутствие напряжения, но не его значение, которое, как правило, известно.</w:t>
      </w:r>
    </w:p>
    <w:p w:rsidR="008D4626" w:rsidRPr="008D4626" w:rsidRDefault="008D4626" w:rsidP="008D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1419E3">
        <w:rPr>
          <w:rFonts w:ascii="Times New Roman" w:eastAsia="Times New Roman" w:hAnsi="Times New Roman" w:cs="Times New Roman"/>
          <w:noProof/>
          <w:color w:val="000000"/>
          <w:sz w:val="12"/>
          <w:szCs w:val="12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00150"/>
            <wp:effectExtent l="19050" t="0" r="0" b="0"/>
            <wp:wrapSquare wrapText="bothSides"/>
            <wp:docPr id="4" name="Рисунок 2" descr="Указатели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азатели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AA" w:rsidRPr="0014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указатели имеют световой сигнал, загорание которого свидетельствует о наличии напряжения на проверяемой части или между проверяемыми частями. Указатели бывают для электроустановок до 1000</w:t>
      </w:r>
      <w:proofErr w:type="gramStart"/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выше.</w:t>
      </w:r>
    </w:p>
    <w:p w:rsidR="008D4626" w:rsidRPr="008D4626" w:rsidRDefault="008D4626" w:rsidP="008D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Указатели, предназначенные для электроустановок до 1000</w:t>
      </w:r>
      <w:proofErr w:type="gramStart"/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>, делятся на двухполюсные и однополюсные.</w:t>
      </w:r>
    </w:p>
    <w:p w:rsidR="005D03AA" w:rsidRPr="001419E3" w:rsidRDefault="008D4626" w:rsidP="008D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Двухполюсные указатели требуют прикосновения к двум частям электроустановки, между которыми необходимо определить наличие или отсутствие напряжения. </w:t>
      </w:r>
    </w:p>
    <w:p w:rsidR="008D4626" w:rsidRPr="008D4626" w:rsidRDefault="008D4626" w:rsidP="008D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626" w:rsidRPr="008D4626" w:rsidRDefault="008D4626" w:rsidP="008D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1419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0" cy="876300"/>
            <wp:effectExtent l="19050" t="0" r="0" b="0"/>
            <wp:docPr id="20" name="Рисунок 20" descr="Указатели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казатели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61E" w:rsidRPr="001419E3" w:rsidRDefault="008D4626" w:rsidP="008D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Двухполюсные указатели могут применяться в установках как переменного, так и постоянного тока. </w:t>
      </w:r>
    </w:p>
    <w:p w:rsidR="008D4626" w:rsidRPr="008D4626" w:rsidRDefault="008D4626" w:rsidP="008D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1419E3">
        <w:rPr>
          <w:rFonts w:ascii="Times New Roman" w:eastAsia="Times New Roman" w:hAnsi="Times New Roman" w:cs="Times New Roman"/>
          <w:noProof/>
          <w:color w:val="000000"/>
          <w:sz w:val="12"/>
          <w:szCs w:val="12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485775"/>
            <wp:effectExtent l="19050" t="0" r="0" b="0"/>
            <wp:wrapSquare wrapText="bothSides"/>
            <wp:docPr id="3" name="Рисунок 3" descr="Указатели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казатели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Однополюсные указатели требуют прикосновения лишь к одной — испытуемой токоведущей части. Связь с землей обеспечивается через тело человека, который пальцем руки создает контакт с цепью указателя. При этом ток не превышает 0,3 мА.</w:t>
      </w:r>
    </w:p>
    <w:p w:rsidR="008D4626" w:rsidRPr="008D4626" w:rsidRDefault="00F3461E" w:rsidP="008D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14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8D4626"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Изготовляются однополюсные указатели обычно в виде автоматической ручки, в корпусе которой, выполненном из изоляционного материала и имеющем смотровое отверстие, размещены сигнальная лампочка и резистор; на нижнем конце корпуса укреплен металлический щуп, а на верхнем — плоский металлический контакт, которого пальцем касается оператор.</w:t>
      </w:r>
      <w:proofErr w:type="gramEnd"/>
    </w:p>
    <w:p w:rsidR="008D4626" w:rsidRPr="008D4626" w:rsidRDefault="002E16C5" w:rsidP="008D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14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D4626"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Однополюсный указатель может применяться только в установках переменного тока, поскольку при постоянном токе его лампочка не горит и при наличии напряжения. Его рекомендуется применять при проверке схем вторичной коммутации, определении фазного провода в электросчетчиках, ламповых патронах, выключателях, предохранителях и т.п.</w:t>
      </w:r>
    </w:p>
    <w:p w:rsidR="008D4626" w:rsidRPr="008D4626" w:rsidRDefault="008D4626" w:rsidP="008D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пользовании указателями напряжения до 1000</w:t>
      </w:r>
      <w:proofErr w:type="gramStart"/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обходиться без защитных средств.</w:t>
      </w:r>
    </w:p>
    <w:p w:rsidR="008D4626" w:rsidRPr="008D4626" w:rsidRDefault="008D4626" w:rsidP="008D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8D462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техники безопасности запрещают применять вместо указателя напряжения так называемую контрольную лампу — лампу накаливания, ввернутую в патрон, заряженный двумя короткими проводами. Это запрещение вызвано тем, что при случайном включении лампы на напряжение большее, чем она рассчитана, или при ударе о твердый предмет возможен взрыв ее колбы и, как следствие, ранение оператора.</w:t>
      </w:r>
    </w:p>
    <w:p w:rsidR="002E16C5" w:rsidRPr="001419E3" w:rsidRDefault="002E16C5" w:rsidP="008D46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9E3">
        <w:rPr>
          <w:color w:val="000000"/>
        </w:rPr>
        <w:lastRenderedPageBreak/>
        <w:t xml:space="preserve">        </w:t>
      </w:r>
      <w:r w:rsidR="008D4626" w:rsidRPr="001419E3">
        <w:rPr>
          <w:color w:val="000000"/>
        </w:rPr>
        <w:t>Указатели для электроустановок напряжением выше 1000</w:t>
      </w:r>
      <w:proofErr w:type="gramStart"/>
      <w:r w:rsidR="008D4626" w:rsidRPr="001419E3">
        <w:rPr>
          <w:color w:val="000000"/>
        </w:rPr>
        <w:t xml:space="preserve"> В</w:t>
      </w:r>
      <w:proofErr w:type="gramEnd"/>
      <w:r w:rsidR="008D4626" w:rsidRPr="001419E3">
        <w:rPr>
          <w:color w:val="000000"/>
        </w:rPr>
        <w:t xml:space="preserve">, называемые также указателями высокого напряжения (УВН), действуют по принципу свечения неоновой лампочки при протекании через нее емкостного тока, т.е. зарядного тока конденсатора, включенного последовательно с лампочкой. </w:t>
      </w:r>
    </w:p>
    <w:p w:rsidR="008D4626" w:rsidRPr="001419E3" w:rsidRDefault="008D4626" w:rsidP="008D46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 w:rsidRPr="001419E3">
        <w:rPr>
          <w:color w:val="000000"/>
        </w:rPr>
        <w:t xml:space="preserve">Эти указатели пригодны лишь для установок переменного тока и </w:t>
      </w:r>
      <w:proofErr w:type="gramStart"/>
      <w:r w:rsidRPr="001419E3">
        <w:rPr>
          <w:color w:val="000000"/>
        </w:rPr>
        <w:t>приближать</w:t>
      </w:r>
      <w:proofErr w:type="gramEnd"/>
      <w:r w:rsidRPr="001419E3">
        <w:rPr>
          <w:color w:val="000000"/>
        </w:rPr>
        <w:t xml:space="preserve"> их надо только к одной фазе.</w:t>
      </w:r>
    </w:p>
    <w:p w:rsidR="008D4626" w:rsidRPr="001419E3" w:rsidRDefault="008D4626" w:rsidP="008D46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 w:rsidRPr="001419E3">
        <w:rPr>
          <w:color w:val="000000"/>
        </w:rPr>
        <w:t xml:space="preserve">Конструкции указателей различны, однако всегда УВН имеют три основные части: рабочую, состоящую из корпуса, сигнальной лампы, конденсатора и </w:t>
      </w:r>
      <w:proofErr w:type="spellStart"/>
      <w:proofErr w:type="gramStart"/>
      <w:r w:rsidRPr="001419E3">
        <w:rPr>
          <w:color w:val="000000"/>
        </w:rPr>
        <w:t>пр</w:t>
      </w:r>
      <w:proofErr w:type="spellEnd"/>
      <w:proofErr w:type="gramEnd"/>
      <w:r w:rsidRPr="001419E3">
        <w:rPr>
          <w:color w:val="000000"/>
        </w:rPr>
        <w:t>, изолирующую, обеспечивающую изоляцию оператора от токоведущих частей и изготовляемую из изоляционных материалов, рукоятку, предназначенную для удержания указателя.</w:t>
      </w:r>
    </w:p>
    <w:p w:rsidR="008D4626" w:rsidRPr="001419E3" w:rsidRDefault="008D4626" w:rsidP="002E16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9E3">
        <w:rPr>
          <w:color w:val="000000"/>
        </w:rPr>
        <w:t xml:space="preserve">При пользовании УВН необходимо применять диэлектрические перчатки. </w:t>
      </w:r>
    </w:p>
    <w:p w:rsidR="002E16C5" w:rsidRPr="001419E3" w:rsidRDefault="002E16C5" w:rsidP="002E16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9E3">
        <w:rPr>
          <w:noProof/>
          <w:color w:val="000000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1212215</wp:posOffset>
            </wp:positionH>
            <wp:positionV relativeFrom="line">
              <wp:posOffset>134620</wp:posOffset>
            </wp:positionV>
            <wp:extent cx="2400300" cy="1372870"/>
            <wp:effectExtent l="19050" t="0" r="0" b="0"/>
            <wp:wrapSquare wrapText="bothSides"/>
            <wp:docPr id="6" name="Рисунок 4" descr="Указатели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казатели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6C5" w:rsidRPr="001419E3" w:rsidRDefault="002E16C5" w:rsidP="002E16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16C5" w:rsidRPr="001419E3" w:rsidRDefault="002E16C5" w:rsidP="002E16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16C5" w:rsidRPr="001419E3" w:rsidRDefault="002E16C5" w:rsidP="002E16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16C5" w:rsidRPr="001419E3" w:rsidRDefault="002E16C5" w:rsidP="002E16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16C5" w:rsidRPr="001419E3" w:rsidRDefault="002E16C5" w:rsidP="002E16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16C5" w:rsidRPr="001419E3" w:rsidRDefault="002E16C5" w:rsidP="002E16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16C5" w:rsidRPr="001419E3" w:rsidRDefault="002E16C5" w:rsidP="002E16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16C5" w:rsidRPr="001419E3" w:rsidRDefault="002E16C5" w:rsidP="002E16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16C5" w:rsidRPr="001419E3" w:rsidRDefault="00942983" w:rsidP="002E16C5">
      <w:pPr>
        <w:pStyle w:val="a3"/>
        <w:shd w:val="clear" w:color="auto" w:fill="FFFFFF"/>
        <w:spacing w:before="0" w:beforeAutospacing="0" w:after="0" w:afterAutospacing="0"/>
        <w:rPr>
          <w:shd w:val="clear" w:color="auto" w:fill="FFFFEF"/>
        </w:rPr>
      </w:pPr>
      <w:r w:rsidRPr="001419E3">
        <w:rPr>
          <w:color w:val="333333"/>
          <w:shd w:val="clear" w:color="auto" w:fill="FFFFEF"/>
        </w:rPr>
        <w:t>Эксплуатационные испытания указателей напряжения до 1000</w:t>
      </w:r>
      <w:proofErr w:type="gramStart"/>
      <w:r w:rsidRPr="001419E3">
        <w:rPr>
          <w:color w:val="333333"/>
          <w:shd w:val="clear" w:color="auto" w:fill="FFFFEF"/>
        </w:rPr>
        <w:t xml:space="preserve"> В</w:t>
      </w:r>
      <w:proofErr w:type="gramEnd"/>
      <w:r w:rsidRPr="001419E3">
        <w:rPr>
          <w:color w:val="333333"/>
          <w:shd w:val="clear" w:color="auto" w:fill="FFFFEF"/>
        </w:rPr>
        <w:t xml:space="preserve"> заключаются в определении напряжения индикации, проверке схемы повышенным напряжением, измерении тока, протекающего через указатель при наибольшем рабочем напряжении, испытании изоляции повышенным напряжением.</w:t>
      </w:r>
      <w:r w:rsidRPr="001419E3">
        <w:rPr>
          <w:shd w:val="clear" w:color="auto" w:fill="FFFFEF"/>
        </w:rPr>
        <w:t> </w:t>
      </w:r>
    </w:p>
    <w:p w:rsidR="00942983" w:rsidRPr="001419E3" w:rsidRDefault="00942983" w:rsidP="002E16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9E3">
        <w:rPr>
          <w:color w:val="333333"/>
          <w:shd w:val="clear" w:color="auto" w:fill="FFFFEF"/>
        </w:rPr>
        <w:t>Эксплуатационные испытания указателей напряжения до 1000</w:t>
      </w:r>
      <w:proofErr w:type="gramStart"/>
      <w:r w:rsidRPr="001419E3">
        <w:rPr>
          <w:color w:val="333333"/>
          <w:shd w:val="clear" w:color="auto" w:fill="FFFFEF"/>
        </w:rPr>
        <w:t xml:space="preserve"> В</w:t>
      </w:r>
      <w:proofErr w:type="gramEnd"/>
      <w:r w:rsidRPr="001419E3">
        <w:rPr>
          <w:color w:val="333333"/>
          <w:shd w:val="clear" w:color="auto" w:fill="FFFFEF"/>
        </w:rPr>
        <w:t xml:space="preserve"> проводятся 1 раз в 12 месяцев.</w:t>
      </w:r>
    </w:p>
    <w:p w:rsidR="002E16C5" w:rsidRDefault="002E16C5" w:rsidP="002E16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1F3A" w:rsidRDefault="005116B8" w:rsidP="0055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551F3A" w:rsidRDefault="00551F3A" w:rsidP="0055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16B8">
        <w:rPr>
          <w:rFonts w:ascii="Times New Roman" w:hAnsi="Times New Roman" w:cs="Times New Roman"/>
          <w:sz w:val="28"/>
          <w:szCs w:val="28"/>
        </w:rPr>
        <w:t>ыбрать сроки испытаний указателей напряжения, указанных в журнале испытаний.</w:t>
      </w:r>
      <w:r w:rsidRPr="00551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Заполнить журнал.</w:t>
      </w:r>
    </w:p>
    <w:p w:rsidR="005116B8" w:rsidRDefault="005116B8" w:rsidP="005116B8">
      <w:pPr>
        <w:rPr>
          <w:rFonts w:ascii="Times New Roman" w:hAnsi="Times New Roman" w:cs="Times New Roman"/>
          <w:sz w:val="28"/>
          <w:szCs w:val="28"/>
        </w:rPr>
      </w:pPr>
    </w:p>
    <w:p w:rsidR="005116B8" w:rsidRDefault="005116B8" w:rsidP="005116B8">
      <w:pPr>
        <w:rPr>
          <w:rFonts w:ascii="Times New Roman" w:hAnsi="Times New Roman" w:cs="Times New Roman"/>
          <w:sz w:val="28"/>
          <w:szCs w:val="28"/>
        </w:rPr>
      </w:pPr>
    </w:p>
    <w:p w:rsidR="005116B8" w:rsidRDefault="005116B8" w:rsidP="005116B8">
      <w:pPr>
        <w:shd w:val="clear" w:color="auto" w:fill="FFFFFF"/>
        <w:ind w:firstLine="284"/>
        <w:jc w:val="center"/>
        <w:rPr>
          <w:b/>
          <w:bCs/>
          <w:color w:val="000000"/>
          <w:szCs w:val="21"/>
        </w:rPr>
      </w:pPr>
      <w:r w:rsidRPr="00AB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ЖУРНАЛ ИСПЫТАНИЙ СРЕДСТВ ЗАЩИТЫ</w:t>
      </w:r>
      <w:r>
        <w:rPr>
          <w:b/>
          <w:bCs/>
          <w:color w:val="000000"/>
          <w:szCs w:val="21"/>
        </w:rPr>
        <w:t xml:space="preserve"> </w:t>
      </w:r>
    </w:p>
    <w:p w:rsidR="005116B8" w:rsidRDefault="005116B8" w:rsidP="005116B8">
      <w:pPr>
        <w:shd w:val="clear" w:color="auto" w:fill="FFFFFF"/>
        <w:ind w:firstLine="284"/>
        <w:jc w:val="right"/>
        <w:rPr>
          <w:b/>
          <w:bCs/>
        </w:rPr>
      </w:pPr>
    </w:p>
    <w:tbl>
      <w:tblPr>
        <w:tblW w:w="5000" w:type="pct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85"/>
        <w:gridCol w:w="1576"/>
        <w:gridCol w:w="1417"/>
        <w:gridCol w:w="1559"/>
        <w:gridCol w:w="1418"/>
        <w:gridCol w:w="1756"/>
      </w:tblGrid>
      <w:tr w:rsidR="005116B8" w:rsidTr="009E56D1"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B8" w:rsidRDefault="005116B8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B8" w:rsidRDefault="005116B8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Предприятие-владелец (структурное подразделение) средства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B8" w:rsidRDefault="005116B8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Дата испытания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B8" w:rsidRDefault="005116B8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Результат испытания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B8" w:rsidRDefault="005116B8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Дата следующего испытания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B8" w:rsidRDefault="005116B8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Подпись лица, производившего испытание</w:t>
            </w:r>
          </w:p>
        </w:tc>
      </w:tr>
      <w:tr w:rsidR="005116B8" w:rsidTr="009E56D1"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B8" w:rsidRPr="001A74DC" w:rsidRDefault="00246194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ПИН-90Э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B8" w:rsidRDefault="005116B8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B8" w:rsidRDefault="00246194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12.01.2019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B8" w:rsidRDefault="00246194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годен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B8" w:rsidRDefault="005116B8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B8" w:rsidRDefault="005116B8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</w:tr>
      <w:tr w:rsidR="00246194" w:rsidTr="009E56D1"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194" w:rsidRPr="001A74DC" w:rsidRDefault="00246194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ПИН-3В1 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194" w:rsidRDefault="00246194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194" w:rsidRDefault="00246194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05.11.2019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194" w:rsidRDefault="00246194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годен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194" w:rsidRDefault="00246194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194" w:rsidRDefault="00246194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</w:tr>
      <w:tr w:rsidR="00246194" w:rsidTr="009E56D1"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94" w:rsidRPr="001A74DC" w:rsidRDefault="001A74DC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УВН-10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94" w:rsidRDefault="00246194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94" w:rsidRDefault="00246194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27.07.2019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94" w:rsidRDefault="00246194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годен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94" w:rsidRDefault="00246194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94" w:rsidRDefault="00246194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</w:tr>
    </w:tbl>
    <w:p w:rsidR="005116B8" w:rsidRDefault="005116B8" w:rsidP="005116B8">
      <w:pPr>
        <w:rPr>
          <w:rFonts w:ascii="Times New Roman" w:hAnsi="Times New Roman" w:cs="Times New Roman"/>
          <w:sz w:val="28"/>
          <w:szCs w:val="28"/>
        </w:rPr>
      </w:pPr>
    </w:p>
    <w:p w:rsidR="00246194" w:rsidRPr="001A74DC" w:rsidRDefault="005116B8" w:rsidP="005116B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74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ПИН-90Э  - Указатель низкого напряжения 50-1000В световой индикатор</w:t>
      </w:r>
      <w:r w:rsidR="00E97E56" w:rsidRPr="001A74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5116B8" w:rsidRPr="001A74DC" w:rsidRDefault="005116B8" w:rsidP="005116B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74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46194" w:rsidRPr="001A74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ПИН-3В1   Указатель низкого напряжения 110-380В;</w:t>
      </w:r>
    </w:p>
    <w:p w:rsidR="001A74DC" w:rsidRPr="001A74DC" w:rsidRDefault="001A74DC" w:rsidP="005116B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74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УВН-10 - Указатель высокого напряжения 10 кВ.</w:t>
      </w:r>
    </w:p>
    <w:p w:rsidR="00246194" w:rsidRDefault="00246194" w:rsidP="005116B8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5116B8" w:rsidRPr="00C73D79" w:rsidRDefault="005116B8" w:rsidP="00511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6C5" w:rsidRDefault="002E16C5" w:rsidP="002E16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16C5" w:rsidRDefault="002E16C5" w:rsidP="002E16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sectPr w:rsidR="002E16C5" w:rsidSect="00FD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9F8"/>
    <w:multiLevelType w:val="multilevel"/>
    <w:tmpl w:val="B304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3E0B"/>
    <w:multiLevelType w:val="multilevel"/>
    <w:tmpl w:val="B64E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10344"/>
    <w:multiLevelType w:val="multilevel"/>
    <w:tmpl w:val="0C6E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75025"/>
    <w:multiLevelType w:val="multilevel"/>
    <w:tmpl w:val="C52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7168B"/>
    <w:rsid w:val="001419E3"/>
    <w:rsid w:val="001A74DC"/>
    <w:rsid w:val="00246194"/>
    <w:rsid w:val="002E16C5"/>
    <w:rsid w:val="005116B8"/>
    <w:rsid w:val="00551F3A"/>
    <w:rsid w:val="005D03AA"/>
    <w:rsid w:val="0088127D"/>
    <w:rsid w:val="008D4626"/>
    <w:rsid w:val="00905A1C"/>
    <w:rsid w:val="00942983"/>
    <w:rsid w:val="00D20907"/>
    <w:rsid w:val="00E7168B"/>
    <w:rsid w:val="00E97E56"/>
    <w:rsid w:val="00F3461E"/>
    <w:rsid w:val="00FD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62"/>
  </w:style>
  <w:style w:type="paragraph" w:styleId="1">
    <w:name w:val="heading 1"/>
    <w:basedOn w:val="a"/>
    <w:link w:val="10"/>
    <w:uiPriority w:val="9"/>
    <w:qFormat/>
    <w:rsid w:val="00905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6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6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A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0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1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D46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D46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Strong"/>
    <w:basedOn w:val="a0"/>
    <w:uiPriority w:val="22"/>
    <w:qFormat/>
    <w:rsid w:val="008D4626"/>
    <w:rPr>
      <w:b/>
      <w:bCs/>
    </w:rPr>
  </w:style>
  <w:style w:type="character" w:styleId="a7">
    <w:name w:val="Hyperlink"/>
    <w:basedOn w:val="a0"/>
    <w:uiPriority w:val="99"/>
    <w:semiHidden/>
    <w:unhideWhenUsed/>
    <w:rsid w:val="00942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30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6722">
                  <w:blockQuote w:val="1"/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2020-04-18T15:27:00Z</dcterms:created>
  <dcterms:modified xsi:type="dcterms:W3CDTF">2020-04-22T09:21:00Z</dcterms:modified>
</cp:coreProperties>
</file>