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7C" w:rsidRDefault="0025027C" w:rsidP="0025027C">
      <w:pPr>
        <w:spacing w:after="75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Гр.18-1  пр. 22.05.20 Техническое обслуживание турбинного оборудования Захаров Г</w:t>
      </w:r>
      <w:proofErr w:type="gramStart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.</w:t>
      </w:r>
    </w:p>
    <w:p w:rsidR="0025027C" w:rsidRPr="0017198A" w:rsidRDefault="0025027C" w:rsidP="0025027C">
      <w:pPr>
        <w:spacing w:after="75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Практическое занятие</w:t>
      </w:r>
      <w:proofErr w:type="gramStart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Определение диаметра трубопровода</w:t>
      </w:r>
    </w:p>
    <w:p w:rsidR="0025027C" w:rsidRPr="0017198A" w:rsidRDefault="0025027C" w:rsidP="0025027C">
      <w:pPr>
        <w:shd w:val="clear" w:color="auto" w:fill="FFFFFF"/>
        <w:spacing w:before="390"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Задача №1. Подбор и расчет оптимального диаметра трубопровода</w:t>
      </w:r>
    </w:p>
    <w:p w:rsidR="0025027C" w:rsidRPr="0017198A" w:rsidRDefault="0025027C" w:rsidP="0025027C">
      <w:pPr>
        <w:shd w:val="clear" w:color="auto" w:fill="FFFFFF"/>
        <w:spacing w:before="420" w:after="0" w:line="375" w:lineRule="atLeast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Теоретическая</w:t>
      </w:r>
      <w:r w:rsidRPr="0017198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часть</w:t>
      </w:r>
      <w:proofErr w:type="gramStart"/>
      <w:r w:rsidRPr="0017198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.</w:t>
      </w:r>
      <w:proofErr w:type="gramEnd"/>
    </w:p>
    <w:p w:rsidR="0025027C" w:rsidRPr="0017198A" w:rsidRDefault="0025027C" w:rsidP="0025027C">
      <w:pPr>
        <w:shd w:val="clear" w:color="auto" w:fill="FFFFFF"/>
        <w:spacing w:before="420" w:after="0" w:line="375" w:lineRule="atLeas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Условие: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 Проектируются две технологические линии, в которых обращается </w:t>
      </w:r>
      <w:r w:rsidRPr="001933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невязкая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жидкость с расходами Q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eastAsia="ru-RU"/>
        </w:rPr>
        <w:t>1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= 20 м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/час и Q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eastAsia="ru-RU"/>
        </w:rPr>
        <w:t>2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= 30 м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/час. В целях упрощения монтажа и обслуживая 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трубопроводов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было принято решение использовать для обеих линий трубы одного диаметра.</w:t>
      </w:r>
    </w:p>
    <w:p w:rsidR="0025027C" w:rsidRPr="0017198A" w:rsidRDefault="0025027C" w:rsidP="0025027C">
      <w:pPr>
        <w:shd w:val="clear" w:color="auto" w:fill="FFFFFF"/>
        <w:spacing w:before="150" w:after="0" w:line="375" w:lineRule="atLeas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Исходные данные: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Q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eastAsia="ru-RU"/>
        </w:rPr>
        <w:t>1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= 20 м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/час; Q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eastAsia="ru-RU"/>
        </w:rPr>
        <w:t>2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= 30 м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/час.</w:t>
      </w:r>
    </w:p>
    <w:p w:rsidR="0025027C" w:rsidRPr="0017198A" w:rsidRDefault="0025027C" w:rsidP="0025027C">
      <w:pPr>
        <w:shd w:val="clear" w:color="auto" w:fill="FFFFFF"/>
        <w:spacing w:before="150" w:after="0" w:line="375" w:lineRule="atLeas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Задача: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 Необходимо определить подходящий под условия задачи диаметр трубы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d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25027C" w:rsidRPr="0017198A" w:rsidRDefault="0025027C" w:rsidP="0025027C">
      <w:pPr>
        <w:shd w:val="clear" w:color="auto" w:fill="FFFFFF"/>
        <w:spacing w:before="150" w:after="0" w:line="375" w:lineRule="atLeas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Решение: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Поскольку дополнительных требований к трубопроводу не указано, то основным критерием соответствия будет являться возможность перекачивать жидкость с указанными расходами. Воспользуемся табличными данными оптимальных скоростей для невязкой жидкости в напорном трубопроводе. Этот диапазон будет равен 1,5 – 3 м/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25027C" w:rsidRPr="0017198A" w:rsidRDefault="0025027C" w:rsidP="0025027C">
      <w:pPr>
        <w:shd w:val="clear" w:color="auto" w:fill="FFFFFF"/>
        <w:spacing w:before="150" w:after="0" w:line="375" w:lineRule="atLeas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Отсюда следует, что можно определить соответствующие значениям оптимальных скоростей диапазоны оптимальных диаметров для разных расходов, и установить область их пересечения. Диаметры труб из этой области, очевидно, будут удовлетворять требованиям применимости для перечисленных случаев расхода.</w:t>
      </w:r>
    </w:p>
    <w:p w:rsidR="0025027C" w:rsidRPr="0017198A" w:rsidRDefault="0025027C" w:rsidP="0025027C">
      <w:pPr>
        <w:shd w:val="clear" w:color="auto" w:fill="FFFFFF"/>
        <w:spacing w:before="150" w:after="0" w:line="375" w:lineRule="atLeas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Определим диапазон оптимальных диаметров для случая Q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eastAsia="ru-RU"/>
        </w:rPr>
        <w:t>1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= 20 м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/час, воспользовавшись формулой расхода, выразив из нее диаметр трубы:</w:t>
      </w:r>
    </w:p>
    <w:p w:rsidR="0025027C" w:rsidRPr="0017198A" w:rsidRDefault="0025027C" w:rsidP="0025027C">
      <w:pPr>
        <w:shd w:val="clear" w:color="auto" w:fill="FFFFFF"/>
        <w:spacing w:before="150" w:after="0" w:line="37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Q = [(π·d²)/4] · </w:t>
      </w:r>
      <w:proofErr w:type="spellStart"/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v</w:t>
      </w:r>
      <w:proofErr w:type="spellEnd"/>
    </w:p>
    <w:p w:rsidR="0025027C" w:rsidRPr="0017198A" w:rsidRDefault="0025027C" w:rsidP="0025027C">
      <w:pPr>
        <w:shd w:val="clear" w:color="auto" w:fill="FFFFFF"/>
        <w:spacing w:before="150" w:after="0" w:line="375" w:lineRule="atLeas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Откуда:</w:t>
      </w:r>
    </w:p>
    <w:p w:rsidR="0025027C" w:rsidRPr="0017198A" w:rsidRDefault="0025027C" w:rsidP="0025027C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proofErr w:type="spellStart"/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d</w:t>
      </w:r>
      <w:proofErr w:type="spellEnd"/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= </w:t>
      </w:r>
      <w:proofErr w:type="spellStart"/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√</w:t>
      </w:r>
      <w:proofErr w:type="spellEnd"/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(4·Q)/(</w:t>
      </w:r>
      <w:proofErr w:type="spellStart"/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π</w:t>
      </w:r>
      <w:proofErr w:type="spellEnd"/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·</w:t>
      </w:r>
      <w:proofErr w:type="spellStart"/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v</w:t>
      </w:r>
      <w:proofErr w:type="spellEnd"/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)</w:t>
      </w:r>
    </w:p>
    <w:p w:rsidR="0025027C" w:rsidRPr="0017198A" w:rsidRDefault="0025027C" w:rsidP="0025027C">
      <w:pPr>
        <w:shd w:val="clear" w:color="auto" w:fill="FFFFFF"/>
        <w:spacing w:before="150" w:after="0" w:line="375" w:lineRule="atLeas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Подставим минимальное и максимальное значение оптимальной скорости:</w:t>
      </w:r>
    </w:p>
    <w:p w:rsidR="0025027C" w:rsidRPr="0017198A" w:rsidRDefault="0025027C" w:rsidP="0025027C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d</w:t>
      </w:r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vertAlign w:val="subscript"/>
          <w:lang w:eastAsia="ru-RU"/>
        </w:rPr>
        <w:t>1min</w:t>
      </w:r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 = </w:t>
      </w:r>
      <w:proofErr w:type="spellStart"/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√</w:t>
      </w:r>
      <w:proofErr w:type="spellEnd"/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(4·20)/(3600·3,14·1,5) = 0,069 м</w:t>
      </w:r>
    </w:p>
    <w:p w:rsidR="0025027C" w:rsidRPr="0017198A" w:rsidRDefault="0025027C" w:rsidP="0025027C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d</w:t>
      </w:r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vertAlign w:val="subscript"/>
          <w:lang w:eastAsia="ru-RU"/>
        </w:rPr>
        <w:t>1max</w:t>
      </w:r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 = </w:t>
      </w:r>
      <w:proofErr w:type="spellStart"/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√</w:t>
      </w:r>
      <w:proofErr w:type="spellEnd"/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(4·20)/(3600·3,14·3) = 0,049 м</w:t>
      </w:r>
    </w:p>
    <w:p w:rsidR="0025027C" w:rsidRPr="0017198A" w:rsidRDefault="0025027C" w:rsidP="0025027C">
      <w:pPr>
        <w:shd w:val="clear" w:color="auto" w:fill="FFFFFF"/>
        <w:spacing w:before="150" w:after="0" w:line="375" w:lineRule="atLeas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То есть для линии с расходом 20 м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/час подходят трубы с диаметром от 49 до 69 мм.</w:t>
      </w:r>
    </w:p>
    <w:p w:rsidR="0025027C" w:rsidRPr="0017198A" w:rsidRDefault="0025027C" w:rsidP="0025027C">
      <w:pPr>
        <w:shd w:val="clear" w:color="auto" w:fill="FFFFFF"/>
        <w:spacing w:before="150" w:after="0" w:line="375" w:lineRule="atLeas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Определим диапазон оптимальных диаметров для случая Q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eastAsia="ru-RU"/>
        </w:rPr>
        <w:t>2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= 30 м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/час:</w:t>
      </w:r>
    </w:p>
    <w:p w:rsidR="0025027C" w:rsidRPr="0017198A" w:rsidRDefault="0025027C" w:rsidP="0025027C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d</w:t>
      </w:r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vertAlign w:val="subscript"/>
          <w:lang w:eastAsia="ru-RU"/>
        </w:rPr>
        <w:t>2min</w:t>
      </w:r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 = </w:t>
      </w:r>
      <w:proofErr w:type="spellStart"/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√</w:t>
      </w:r>
      <w:proofErr w:type="spellEnd"/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(4·30)/(3600·3,14·1,5) = 0,084 м</w:t>
      </w:r>
    </w:p>
    <w:p w:rsidR="0025027C" w:rsidRPr="0017198A" w:rsidRDefault="0025027C" w:rsidP="0025027C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d</w:t>
      </w:r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vertAlign w:val="subscript"/>
          <w:lang w:eastAsia="ru-RU"/>
        </w:rPr>
        <w:t>2max</w:t>
      </w:r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 = </w:t>
      </w:r>
      <w:proofErr w:type="spellStart"/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√</w:t>
      </w:r>
      <w:proofErr w:type="spellEnd"/>
      <w:r w:rsidRPr="0017198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(4·30)/(3600·3,14·3) = 0,059 м</w:t>
      </w:r>
    </w:p>
    <w:p w:rsidR="0025027C" w:rsidRPr="0017198A" w:rsidRDefault="0025027C" w:rsidP="0025027C">
      <w:pPr>
        <w:shd w:val="clear" w:color="auto" w:fill="FFFFFF"/>
        <w:spacing w:before="150" w:after="0" w:line="375" w:lineRule="atLeas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Итого получим, что для первого случая диапазон оптимальных диаметров составляет 49-69 мм, а для второго – 59-84 мм. Пересечение двух этих диапазонов и даст набор искомых величин. Получим, что для двух линий могут использоваться трубы диаметром от 59 до 69 мм.</w:t>
      </w:r>
    </w:p>
    <w:p w:rsidR="0025027C" w:rsidRPr="0017198A" w:rsidRDefault="0025027C" w:rsidP="0025027C">
      <w:pPr>
        <w:rPr>
          <w:rFonts w:ascii="Times New Roman" w:hAnsi="Times New Roman" w:cs="Times New Roman"/>
          <w:sz w:val="24"/>
          <w:szCs w:val="24"/>
        </w:rPr>
      </w:pP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расчётах диаметров в качестве 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 формула: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04975" cy="666750"/>
            <wp:effectExtent l="19050" t="0" r="9525" b="0"/>
            <wp:wrapSquare wrapText="bothSides"/>
            <wp:docPr id="5" name="Рисунок 2" descr="формул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ул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где:</w:t>
      </w: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 = расход пара, воздуха и воды в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 = диаметр трубопровода в 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допустимая скорость потока в м/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практике рекомендуется вести расчет по расходу в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 и по диаметру трубопровода в мм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случае выше приведённая формула расчёта диаметра трубопровода изменяется следующим образом: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733425"/>
            <wp:effectExtent l="19050" t="0" r="0" b="0"/>
            <wp:wrapSquare wrapText="bothSides"/>
            <wp:docPr id="6" name="Рисунок 3" descr="формул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где: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 = диаметр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конденсатопровода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 = расход в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= допустимая скорость потока в м/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трубопроводов всегда ведется по объёмному расходу (м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/ч), а не по массовому (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/ч). Если известен только массовый расход, то для пересчёта 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 в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 необходимо учитывать удельный объём по таблице пара.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</w:t>
      </w: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объем насыщенного пара при давлении 11 бар составляет 0,1747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/кг. Таким образом, объемный расход от 1000 кг/ч насыщенного пара при 11 бар будет составлять 1000 * 0,1747 = 174,7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/ч. Если речь будет идти о таком же количестве перегретого пара при давлении 11 бар и 300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удельный объём составит 0,2337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/кг, а объемный расход 233,7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/ч. Таким образом это означает, что один и тот же паропровод не может одинаково подходить для транспорта одного количества насыщенного и перегретого пара.</w:t>
      </w: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для случая воздуха и других газов расчет необходимо повторить с учетом давления. Производители компрессорного оборудования указывают производительность компрессоров в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/ч, под которым понимается объем в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температуре 0 °С.</w:t>
      </w: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производительность компрессора 600 мп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 и давление воздуха 6 бар, то объемный расход составляет 600/6 = 100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/ч. в этом также заключается основа расчета трубопроводов.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Допустимая скорость потока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Допустимая скорость потока в системе трубопроводов зависит от многих факторов.</w:t>
      </w:r>
    </w:p>
    <w:p w:rsidR="0025027C" w:rsidRPr="0017198A" w:rsidRDefault="0025027C" w:rsidP="0025027C">
      <w:pPr>
        <w:numPr>
          <w:ilvl w:val="0"/>
          <w:numId w:val="1"/>
        </w:numPr>
        <w:spacing w:after="75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стоимость установки: низкая скорость потока приводит к выбору большего диаметра.</w:t>
      </w:r>
    </w:p>
    <w:p w:rsidR="0025027C" w:rsidRPr="0017198A" w:rsidRDefault="0025027C" w:rsidP="0025027C">
      <w:pPr>
        <w:numPr>
          <w:ilvl w:val="0"/>
          <w:numId w:val="1"/>
        </w:numPr>
        <w:spacing w:after="75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давления: высокая скорость потока позволяет выбрать меньший диаметр, однако вызывает большую потерю давления.</w:t>
      </w:r>
    </w:p>
    <w:p w:rsidR="0025027C" w:rsidRPr="0017198A" w:rsidRDefault="0025027C" w:rsidP="0025027C">
      <w:pPr>
        <w:numPr>
          <w:ilvl w:val="0"/>
          <w:numId w:val="1"/>
        </w:numPr>
        <w:spacing w:after="75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износ: особенно в случае конденсата высокая скорость потока приводит к повышенной эрозии.</w:t>
      </w:r>
    </w:p>
    <w:p w:rsidR="0025027C" w:rsidRPr="0017198A" w:rsidRDefault="0025027C" w:rsidP="0025027C">
      <w:pPr>
        <w:numPr>
          <w:ilvl w:val="0"/>
          <w:numId w:val="1"/>
        </w:numPr>
        <w:spacing w:after="75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шум: высокая скорость потока увеличивает шумовую нагрузку, напр. Паровой редукционный клапан.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ниже приведенной таблице представлены данные норм относительно скорости потока для некоторых сред протекания.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87"/>
        <w:gridCol w:w="3717"/>
        <w:gridCol w:w="3001"/>
      </w:tblGrid>
      <w:tr w:rsidR="0025027C" w:rsidRPr="0017198A" w:rsidTr="00196B35"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потока в м/</w:t>
            </w:r>
            <w:proofErr w:type="gramStart"/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25027C" w:rsidRPr="0017198A" w:rsidTr="00196B35">
        <w:tc>
          <w:tcPr>
            <w:tcW w:w="0" w:type="auto"/>
            <w:vMerge w:val="restart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бар</w:t>
            </w: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15</w:t>
            </w:r>
          </w:p>
        </w:tc>
      </w:tr>
      <w:tr w:rsidR="0025027C" w:rsidRPr="0017198A" w:rsidTr="00196B35">
        <w:tc>
          <w:tcPr>
            <w:tcW w:w="0" w:type="auto"/>
            <w:vMerge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vAlign w:val="center"/>
            <w:hideMark/>
          </w:tcPr>
          <w:p w:rsidR="0025027C" w:rsidRPr="0017198A" w:rsidRDefault="0025027C" w:rsidP="00196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10 бар</w:t>
            </w: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– 20</w:t>
            </w:r>
          </w:p>
        </w:tc>
      </w:tr>
      <w:tr w:rsidR="0025027C" w:rsidRPr="0017198A" w:rsidTr="00196B35">
        <w:tc>
          <w:tcPr>
            <w:tcW w:w="0" w:type="auto"/>
            <w:vMerge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vAlign w:val="center"/>
            <w:hideMark/>
          </w:tcPr>
          <w:p w:rsidR="0025027C" w:rsidRPr="0017198A" w:rsidRDefault="0025027C" w:rsidP="00196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40 бар</w:t>
            </w: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– 40</w:t>
            </w:r>
          </w:p>
        </w:tc>
      </w:tr>
      <w:tr w:rsidR="0025027C" w:rsidRPr="0017198A" w:rsidTr="00196B35">
        <w:tc>
          <w:tcPr>
            <w:tcW w:w="0" w:type="auto"/>
            <w:vMerge w:val="restart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Конденсат</w:t>
            </w: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Заполненный</w:t>
            </w:r>
            <w:proofErr w:type="gramEnd"/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конденсатом</w:t>
            </w: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027C" w:rsidRPr="0017198A" w:rsidTr="00196B35">
        <w:tc>
          <w:tcPr>
            <w:tcW w:w="0" w:type="auto"/>
            <w:vMerge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vAlign w:val="center"/>
            <w:hideMark/>
          </w:tcPr>
          <w:p w:rsidR="0025027C" w:rsidRPr="0017198A" w:rsidRDefault="0025027C" w:rsidP="00196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Конденсато-паровая</w:t>
            </w:r>
            <w:proofErr w:type="spellEnd"/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смесь</w:t>
            </w: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10</w:t>
            </w:r>
          </w:p>
        </w:tc>
      </w:tr>
      <w:tr w:rsidR="0025027C" w:rsidRPr="0017198A" w:rsidTr="00196B35">
        <w:tc>
          <w:tcPr>
            <w:tcW w:w="0" w:type="auto"/>
            <w:vMerge w:val="restart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Питательная вода</w:t>
            </w: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Трубопровод </w:t>
            </w:r>
            <w:proofErr w:type="spellStart"/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всаса</w:t>
            </w:r>
            <w:proofErr w:type="spellEnd"/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– 1</w:t>
            </w:r>
          </w:p>
        </w:tc>
      </w:tr>
      <w:tr w:rsidR="0025027C" w:rsidRPr="0017198A" w:rsidTr="00196B35">
        <w:tc>
          <w:tcPr>
            <w:tcW w:w="0" w:type="auto"/>
            <w:vMerge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vAlign w:val="center"/>
            <w:hideMark/>
          </w:tcPr>
          <w:p w:rsidR="0025027C" w:rsidRPr="0017198A" w:rsidRDefault="0025027C" w:rsidP="00196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Трубопровод подачи</w:t>
            </w: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027C" w:rsidRPr="0017198A" w:rsidTr="00196B35">
        <w:tc>
          <w:tcPr>
            <w:tcW w:w="0" w:type="auto"/>
            <w:vMerge w:val="restart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Питьевого качества</w:t>
            </w: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25027C" w:rsidRPr="0017198A" w:rsidTr="00196B35">
        <w:tc>
          <w:tcPr>
            <w:tcW w:w="0" w:type="auto"/>
            <w:vMerge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vAlign w:val="center"/>
            <w:hideMark/>
          </w:tcPr>
          <w:p w:rsidR="0025027C" w:rsidRPr="0017198A" w:rsidRDefault="0025027C" w:rsidP="00196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Охлаждение</w:t>
            </w: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027C" w:rsidRPr="0017198A" w:rsidTr="00196B35"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под давлением</w:t>
            </w:r>
          </w:p>
        </w:tc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10</w:t>
            </w:r>
          </w:p>
        </w:tc>
      </w:tr>
      <w:tr w:rsidR="0025027C" w:rsidRPr="0017198A" w:rsidTr="00196B35">
        <w:tc>
          <w:tcPr>
            <w:tcW w:w="0" w:type="auto"/>
            <w:gridSpan w:val="3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Трубопровод </w:t>
            </w:r>
            <w:proofErr w:type="spellStart"/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всаса</w:t>
            </w:r>
            <w:proofErr w:type="spellEnd"/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насоса питательной воды: из-за низкой скорости потока низкая потеря давления, что препятствует образованию пузырьков пара на </w:t>
            </w:r>
            <w:proofErr w:type="spellStart"/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всасе</w:t>
            </w:r>
            <w:proofErr w:type="spellEnd"/>
            <w:r w:rsidRPr="0017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питательного насоса.</w:t>
            </w:r>
          </w:p>
        </w:tc>
      </w:tr>
    </w:tbl>
    <w:p w:rsidR="0025027C" w:rsidRPr="0017198A" w:rsidRDefault="0025027C" w:rsidP="002502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05"/>
      </w:tblGrid>
      <w:tr w:rsidR="0025027C" w:rsidRPr="0017198A" w:rsidTr="00196B35"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620000" cy="6257925"/>
                  <wp:effectExtent l="19050" t="0" r="0" b="0"/>
                  <wp:docPr id="7" name="Рисунок 1" descr="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625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27C" w:rsidRPr="0017198A" w:rsidTr="00196B35">
        <w:tc>
          <w:tcPr>
            <w:tcW w:w="0" w:type="auto"/>
            <w:tcBorders>
              <w:top w:val="single" w:sz="6" w:space="0" w:color="7DB5B6"/>
              <w:left w:val="single" w:sz="6" w:space="0" w:color="7DB5B6"/>
              <w:bottom w:val="single" w:sz="6" w:space="0" w:color="7DB5B6"/>
              <w:right w:val="single" w:sz="6" w:space="0" w:color="7DB5B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027C" w:rsidRPr="0017198A" w:rsidRDefault="0025027C" w:rsidP="00196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b/>
                <w:bCs/>
                <w:color w:val="959595"/>
                <w:sz w:val="24"/>
                <w:szCs w:val="24"/>
                <w:bdr w:val="none" w:sz="0" w:space="0" w:color="auto" w:frame="1"/>
                <w:lang w:eastAsia="ru-RU"/>
              </w:rPr>
              <w:t>Нормы для определения скорости потока</w:t>
            </w:r>
          </w:p>
        </w:tc>
      </w:tr>
    </w:tbl>
    <w:p w:rsidR="0025027C" w:rsidRPr="0017198A" w:rsidRDefault="0025027C" w:rsidP="0025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Примеры: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Вода</w:t>
      </w: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диаметра трубопровода для воды при 100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/ч и скорости потока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 м/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 =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354*100/2 = 133 мм. Выбранный номинальный диаметр DN 125 или DN 150.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Воздух под давлением</w:t>
      </w: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диаметра трубопровода для воздуха при 600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/ч, давление 5 бар и скорости потока 8 м/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Перерасчет с нормального расхода 600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/ч 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рабочий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 600/5 = 120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D =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354*120/8 = 72 мм. Выбранный номинальный диаметр DN 65 или DN 80.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назначения воды или воздуха выбирается трубопровод DN 65 или DN 80. Необходимо иметь 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ввиду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диаметра трубопровода усреднен и не предусматривает случая наступления пиковой нагрузки.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Насыщенный пар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диаметра трубопровода для насыщенного пара при 1500 кг/ч, давлении 16 бар и скорости потока 15 м/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таблицей пара удельный объем насыщенного пара при давлении 16 бар составляет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0,1237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/кг.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 =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354*1500*0,1237/15 = 66 мм.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здесь должен быть решен вопрос DN 65 или DN 80 в зависимости от возможной пиковой нагрузки. В случае необходимости предусматривается также возможность расширения установки в будущем.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Перегретый пар</w:t>
      </w: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нашем примере пар перегреет до температуры 300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его удельный объем изменяется на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0,1585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/кг.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 =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354*1500*0,1585/15 = 75 мм, выбирается DN 80.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4.9 в форме номограммы показывает, как можно произвести выбор трубопровода без проведения расчета. На изображении 4-10 этот процесс представлен для случая насыщенного и перегретого пара.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Конденсат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речь идёт о расчёте трубопровода для конденсата без примеси пара (от разгрузки), тогда расчёт ведётся как для воды.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Горячий конденсат после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конденсатоотводчика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попадая в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конденсатопровод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разгружается в нём. В главе 6.0 Работа с конденсатом поясняется, как определить долю пара от разгрузки.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к проведению расчёта: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Доля пара от разгрузки = (температура перед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конденсатоотводчиком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минус температура пара после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конденсатоотводчика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0,2. При расчёте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конденсатопровода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учитывать объём пара от разгрузки.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оставшейся воды в сравнении с объёмом пара от разгрузки настолько мал, что им можно пренебречь.</w:t>
      </w: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Расчёт диаметра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конденсатопровода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расход 1000 кг/ч сконденсированного пара 11 бар (h1 = 781 кДж/кг) и разгруженного до давления 4 бар (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 = 604 кДж/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кг,v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0,4622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/кг и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- 2133 кДж/кг).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разгруженного пара составляет: 781 – 604/ 100 % = 8,3%</w:t>
      </w: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разгруженного пара: 1000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0,083 = 83 кг/ч или 83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0,4622 -38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/ч. Объёмная доля разгруженного пара составляет около 97 %.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 трубопровода для смеси при скорости потока 8 м/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D =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354*1000*0,083*0,4622/8 = 40 мм.</w:t>
      </w: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сети атмосферного конденсата (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 = 1,694 м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/кг) доля разгруженного пара составляет: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781 – 418/2258*100 % = 16 % или 160 кг/ч.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диаметр трубопровода:</w:t>
      </w:r>
    </w:p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 =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354*1000*0,16*1,694/8 = 110 мм.</w:t>
      </w:r>
    </w:p>
    <w:p w:rsidR="0025027C" w:rsidRPr="0017198A" w:rsidRDefault="0025027C" w:rsidP="0025027C">
      <w:pPr>
        <w:pStyle w:val="1"/>
        <w:spacing w:before="15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198A">
        <w:rPr>
          <w:rFonts w:ascii="Times New Roman" w:hAnsi="Times New Roman" w:cs="Times New Roman"/>
          <w:color w:val="000000"/>
          <w:sz w:val="24"/>
          <w:szCs w:val="24"/>
        </w:rPr>
        <w:t>Расчет диаметра трубы водопровода</w:t>
      </w:r>
    </w:p>
    <w:p w:rsidR="0025027C" w:rsidRPr="0017198A" w:rsidRDefault="0025027C" w:rsidP="0025027C">
      <w:pPr>
        <w:pStyle w:val="z-"/>
        <w:rPr>
          <w:rFonts w:ascii="Times New Roman" w:hAnsi="Times New Roman" w:cs="Times New Roman"/>
          <w:sz w:val="24"/>
          <w:szCs w:val="24"/>
        </w:rPr>
      </w:pPr>
      <w:r w:rsidRPr="0017198A">
        <w:rPr>
          <w:rFonts w:ascii="Times New Roman" w:hAnsi="Times New Roman" w:cs="Times New Roman"/>
          <w:sz w:val="24"/>
          <w:szCs w:val="24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25027C" w:rsidRPr="0017198A" w:rsidTr="00196B3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25027C" w:rsidRPr="0017198A" w:rsidRDefault="0025027C" w:rsidP="0019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98A">
              <w:rPr>
                <w:rFonts w:ascii="Times New Roman" w:hAnsi="Times New Roman" w:cs="Times New Roman"/>
                <w:sz w:val="24"/>
                <w:szCs w:val="24"/>
              </w:rPr>
              <w:t>Расход воды в трубе, л/</w:t>
            </w:r>
            <w:proofErr w:type="gramStart"/>
            <w:r w:rsidRPr="001719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198A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2500" w:type="pct"/>
            <w:vAlign w:val="center"/>
            <w:hideMark/>
          </w:tcPr>
          <w:p w:rsidR="0025027C" w:rsidRPr="0017198A" w:rsidRDefault="0025027C" w:rsidP="0019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98A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9.5pt;height:18pt" o:ole="">
                  <v:imagedata r:id="rId8" o:title=""/>
                </v:shape>
                <w:control r:id="rId9" w:name="DefaultOcxName" w:shapeid="_x0000_i1033"/>
              </w:object>
            </w:r>
          </w:p>
        </w:tc>
      </w:tr>
      <w:tr w:rsidR="0025027C" w:rsidRPr="0017198A" w:rsidTr="00196B3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25027C" w:rsidRPr="0017198A" w:rsidRDefault="0025027C" w:rsidP="0019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98A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воды в трубе, </w:t>
            </w:r>
            <w:proofErr w:type="gramStart"/>
            <w:r w:rsidRPr="00171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7198A">
              <w:rPr>
                <w:rFonts w:ascii="Times New Roman" w:hAnsi="Times New Roman" w:cs="Times New Roman"/>
                <w:sz w:val="24"/>
                <w:szCs w:val="24"/>
              </w:rPr>
              <w:t>/с (оптимально 0,7 ... 1,5 м/с) =</w:t>
            </w:r>
          </w:p>
        </w:tc>
        <w:tc>
          <w:tcPr>
            <w:tcW w:w="2500" w:type="pct"/>
            <w:vAlign w:val="center"/>
            <w:hideMark/>
          </w:tcPr>
          <w:p w:rsidR="0025027C" w:rsidRPr="0017198A" w:rsidRDefault="0025027C" w:rsidP="0019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98A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32" type="#_x0000_t75" style="width:79.5pt;height:18pt" o:ole="">
                  <v:imagedata r:id="rId10" o:title=""/>
                </v:shape>
                <w:control r:id="rId11" w:name="DefaultOcxName1" w:shapeid="_x0000_i1032"/>
              </w:object>
            </w:r>
          </w:p>
        </w:tc>
      </w:tr>
      <w:tr w:rsidR="0025027C" w:rsidTr="00196B3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25027C" w:rsidRDefault="0025027C" w:rsidP="00196B35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25027C" w:rsidRDefault="0025027C" w:rsidP="00196B35">
            <w:pPr>
              <w:rPr>
                <w:sz w:val="24"/>
                <w:szCs w:val="24"/>
              </w:rPr>
            </w:pPr>
          </w:p>
        </w:tc>
      </w:tr>
      <w:tr w:rsidR="0025027C" w:rsidTr="00196B3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25027C" w:rsidRDefault="0025027C" w:rsidP="00196B35">
            <w:pPr>
              <w:rPr>
                <w:sz w:val="24"/>
                <w:szCs w:val="24"/>
              </w:rPr>
            </w:pPr>
            <w:r>
              <w:t xml:space="preserve">Внутренний диаметр трубы, </w:t>
            </w:r>
            <w:proofErr w:type="gramStart"/>
            <w:r>
              <w:t>мм</w:t>
            </w:r>
            <w:proofErr w:type="gramEnd"/>
            <w:r>
              <w:t xml:space="preserve"> =</w:t>
            </w:r>
          </w:p>
        </w:tc>
        <w:tc>
          <w:tcPr>
            <w:tcW w:w="2500" w:type="pct"/>
            <w:vAlign w:val="center"/>
            <w:hideMark/>
          </w:tcPr>
          <w:p w:rsidR="0025027C" w:rsidRDefault="0025027C" w:rsidP="00196B35">
            <w:pPr>
              <w:rPr>
                <w:sz w:val="24"/>
                <w:szCs w:val="24"/>
              </w:rPr>
            </w:pPr>
            <w:r>
              <w:object w:dxaOrig="225" w:dyaOrig="225">
                <v:shape id="_x0000_i1031" type="#_x0000_t75" style="width:79.5pt;height:18pt" o:ole="">
                  <v:imagedata r:id="rId8" o:title=""/>
                </v:shape>
                <w:control r:id="rId12" w:name="DefaultOcxName2" w:shapeid="_x0000_i1031"/>
              </w:object>
            </w:r>
          </w:p>
        </w:tc>
      </w:tr>
    </w:tbl>
    <w:p w:rsidR="0025027C" w:rsidRDefault="0025027C" w:rsidP="0025027C">
      <w:pPr>
        <w:pStyle w:val="z-1"/>
      </w:pPr>
      <w:r>
        <w:t>Конец формы</w:t>
      </w:r>
    </w:p>
    <w:p w:rsidR="0025027C" w:rsidRDefault="0025027C" w:rsidP="0025027C">
      <w:pPr>
        <w:rPr>
          <w:sz w:val="24"/>
          <w:szCs w:val="24"/>
        </w:rPr>
      </w:pPr>
    </w:p>
    <w:tbl>
      <w:tblPr>
        <w:tblW w:w="4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5027C" w:rsidTr="00196B35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25027C" w:rsidRDefault="0025027C" w:rsidP="00196B35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25027C" w:rsidRPr="0017198A" w:rsidRDefault="0025027C" w:rsidP="002502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  <w:sz w:val="27"/>
          <w:szCs w:val="27"/>
        </w:rPr>
        <w:br/>
      </w:r>
      <w:r w:rsidRPr="00171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Расчет диаметра трубы</w:t>
      </w:r>
      <w:r w:rsidRPr="0017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водопровода производится на основании расхода воды в трубе и оптимальных значений скорости жидкости в водопроводной трубе.</w:t>
      </w:r>
      <w:r w:rsidRPr="001719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19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Формула расчета диаметра водопроводной трубы:</w:t>
      </w:r>
      <w:r w:rsidRPr="001719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198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71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proofErr w:type="spellEnd"/>
      <w:r w:rsidRPr="00171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= </w:t>
      </w:r>
      <w:proofErr w:type="spellStart"/>
      <w:r w:rsidRPr="00171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√</w:t>
      </w:r>
      <w:proofErr w:type="spellEnd"/>
      <w:r w:rsidRPr="00171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(4000 * </w:t>
      </w:r>
      <w:proofErr w:type="spellStart"/>
      <w:r w:rsidRPr="00171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q</w:t>
      </w:r>
      <w:proofErr w:type="spellEnd"/>
      <w:r w:rsidRPr="00171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</w:t>
      </w:r>
      <w:proofErr w:type="spellStart"/>
      <w:r w:rsidRPr="00171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proofErr w:type="spellEnd"/>
      <w:r w:rsidRPr="00171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π)</w:t>
      </w:r>
      <w:r w:rsidRPr="0017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</w:t>
      </w:r>
      <w:r w:rsidRPr="001719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198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7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proofErr w:type="spellEnd"/>
      <w:r w:rsidRPr="0017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диаметр водопроводной трубы в мм;</w:t>
      </w:r>
      <w:r w:rsidRPr="0017198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7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</w:t>
      </w:r>
      <w:proofErr w:type="spellEnd"/>
      <w:r w:rsidRPr="0017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расход воды в л/с;</w:t>
      </w:r>
      <w:r w:rsidRPr="0017198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7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proofErr w:type="spellEnd"/>
      <w:r w:rsidRPr="0017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скорость воды в трубе в м/с.</w:t>
      </w:r>
      <w:r w:rsidRPr="001719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19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Оптимальная скорость воды в трубе составляет от 0,7 до 1,5 м/</w:t>
      </w:r>
      <w:proofErr w:type="gramStart"/>
      <w:r w:rsidRPr="0017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7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Источник</w: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"Рекомендации по применению оборудования ARI. Практическое руководство по пару и конденсату. Требования и условия безопасной эксплуатации. Изд. 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"https://nomitech.ru/ari-armaturen/" \o "ARI-Armaturen" </w:instrText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7198A">
        <w:rPr>
          <w:rFonts w:ascii="Times New Roman" w:eastAsia="Times New Roman" w:hAnsi="Times New Roman" w:cs="Times New Roman"/>
          <w:color w:val="3F9A9C"/>
          <w:sz w:val="24"/>
          <w:szCs w:val="24"/>
          <w:u w:val="single"/>
          <w:lang w:eastAsia="ru-RU"/>
        </w:rPr>
        <w:t>ARI-Armaturen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GmbH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&amp;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KG 2010"</w:t>
      </w: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более верного выбора оборудования можно обратиться на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почту: </w:t>
      </w:r>
      <w:r w:rsidRPr="00171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info@nomitech.ru</w:t>
      </w: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25027C" w:rsidRPr="0017198A" w:rsidRDefault="0025027C" w:rsidP="002502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1.Определить диаметр трубопровода в квартир</w:t>
      </w:r>
      <w:proofErr w:type="gram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участке) по показаниям </w:t>
      </w:r>
      <w:proofErr w:type="spellStart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водосчетчиков</w:t>
      </w:r>
      <w:proofErr w:type="spellEnd"/>
      <w:r w:rsidRPr="0017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л.сек</w:t>
      </w:r>
    </w:p>
    <w:p w:rsidR="0025027C" w:rsidRDefault="0025027C" w:rsidP="0025027C"/>
    <w:p w:rsidR="005426D3" w:rsidRDefault="005426D3"/>
    <w:sectPr w:rsidR="005426D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1673"/>
    <w:multiLevelType w:val="multilevel"/>
    <w:tmpl w:val="F59A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27C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F4D1E"/>
    <w:rsid w:val="002012A9"/>
    <w:rsid w:val="002158AE"/>
    <w:rsid w:val="0025027C"/>
    <w:rsid w:val="0027754F"/>
    <w:rsid w:val="002802BD"/>
    <w:rsid w:val="00286235"/>
    <w:rsid w:val="002A4AA1"/>
    <w:rsid w:val="002C353C"/>
    <w:rsid w:val="002D2842"/>
    <w:rsid w:val="00371310"/>
    <w:rsid w:val="00395271"/>
    <w:rsid w:val="003B5104"/>
    <w:rsid w:val="00414F7C"/>
    <w:rsid w:val="0043709B"/>
    <w:rsid w:val="00460551"/>
    <w:rsid w:val="00532CFE"/>
    <w:rsid w:val="005426D3"/>
    <w:rsid w:val="00571249"/>
    <w:rsid w:val="00582675"/>
    <w:rsid w:val="005B54E9"/>
    <w:rsid w:val="005E6736"/>
    <w:rsid w:val="00634C17"/>
    <w:rsid w:val="00634F86"/>
    <w:rsid w:val="00636C63"/>
    <w:rsid w:val="00645861"/>
    <w:rsid w:val="00671B5C"/>
    <w:rsid w:val="006A2015"/>
    <w:rsid w:val="006B6674"/>
    <w:rsid w:val="006D22B2"/>
    <w:rsid w:val="007364A0"/>
    <w:rsid w:val="007426F2"/>
    <w:rsid w:val="00757E2E"/>
    <w:rsid w:val="00781F07"/>
    <w:rsid w:val="007838F2"/>
    <w:rsid w:val="00797E83"/>
    <w:rsid w:val="007D3CB1"/>
    <w:rsid w:val="00805937"/>
    <w:rsid w:val="008771E2"/>
    <w:rsid w:val="00877810"/>
    <w:rsid w:val="00884B94"/>
    <w:rsid w:val="008A3932"/>
    <w:rsid w:val="008C6B34"/>
    <w:rsid w:val="008F44C6"/>
    <w:rsid w:val="00921E57"/>
    <w:rsid w:val="00A41452"/>
    <w:rsid w:val="00A73767"/>
    <w:rsid w:val="00AB4A31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13C36"/>
    <w:rsid w:val="00CA7D48"/>
    <w:rsid w:val="00D00E42"/>
    <w:rsid w:val="00D115CE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F263C2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7C"/>
  </w:style>
  <w:style w:type="paragraph" w:styleId="1">
    <w:name w:val="heading 1"/>
    <w:basedOn w:val="a"/>
    <w:next w:val="a"/>
    <w:link w:val="10"/>
    <w:uiPriority w:val="9"/>
    <w:qFormat/>
    <w:rsid w:val="00250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02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02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02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02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ontrol" Target="activeX/activeX2.xml"/><Relationship Id="rId5" Type="http://schemas.openxmlformats.org/officeDocument/2006/relationships/image" Target="media/image1.jpe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1303</Words>
  <Characters>7432</Characters>
  <Application>Microsoft Office Word</Application>
  <DocSecurity>0</DocSecurity>
  <Lines>61</Lines>
  <Paragraphs>17</Paragraphs>
  <ScaleCrop>false</ScaleCrop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2020-05-22T02:42:00Z</dcterms:created>
  <dcterms:modified xsi:type="dcterms:W3CDTF">2020-05-22T02:43:00Z</dcterms:modified>
</cp:coreProperties>
</file>