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E8" w:rsidRPr="00601AE8" w:rsidRDefault="00601AE8" w:rsidP="006B30DF">
      <w:pPr>
        <w:shd w:val="clear" w:color="auto" w:fill="FFFFFF"/>
        <w:spacing w:after="270" w:line="240" w:lineRule="auto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>Гр.17-1 3.06.2020 Производственная практика Захаров Г.П.</w:t>
      </w:r>
    </w:p>
    <w:p w:rsidR="00601AE8" w:rsidRPr="00601AE8" w:rsidRDefault="00601AE8" w:rsidP="006B30DF">
      <w:pPr>
        <w:shd w:val="clear" w:color="auto" w:fill="FFFFFF"/>
        <w:spacing w:after="270" w:line="240" w:lineRule="auto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01AE8"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>Тема:</w:t>
      </w:r>
      <w:r w:rsidRPr="00601AE8">
        <w:rPr>
          <w:rStyle w:val="10"/>
          <w:rFonts w:eastAsiaTheme="minorHAnsi"/>
        </w:rPr>
        <w:t xml:space="preserve"> </w:t>
      </w:r>
      <w:r>
        <w:rPr>
          <w:rStyle w:val="FontStyle60"/>
          <w:sz w:val="28"/>
          <w:szCs w:val="28"/>
        </w:rPr>
        <w:t>С</w:t>
      </w:r>
      <w:r w:rsidRPr="00601AE8">
        <w:rPr>
          <w:rStyle w:val="FontStyle60"/>
          <w:sz w:val="28"/>
          <w:szCs w:val="28"/>
        </w:rPr>
        <w:t>вязь котла и турбины  в энергетическом оборудовании</w:t>
      </w:r>
      <w:proofErr w:type="gramStart"/>
      <w:r>
        <w:rPr>
          <w:rStyle w:val="FontStyle60"/>
        </w:rPr>
        <w:t xml:space="preserve">  .</w:t>
      </w:r>
      <w:proofErr w:type="gramEnd"/>
    </w:p>
    <w:p w:rsidR="006B30DF" w:rsidRPr="006B30DF" w:rsidRDefault="006B30DF" w:rsidP="006B30DF">
      <w:pPr>
        <w:shd w:val="clear" w:color="auto" w:fill="FFFFFF"/>
        <w:spacing w:after="270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B30DF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  <w:t>Котёл - турбина блок</w:t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-60" w:right="15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</w:p>
    <w:p w:rsidR="006B30DF" w:rsidRPr="006B30DF" w:rsidRDefault="006B30DF" w:rsidP="006B3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0DF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ru-RU"/>
        </w:rPr>
        <w:t>﻿</w:t>
      </w:r>
    </w:p>
    <w:p w:rsidR="006B30DF" w:rsidRPr="006B30DF" w:rsidRDefault="006B30DF" w:rsidP="006B30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B4513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8B4513"/>
          <w:sz w:val="21"/>
          <w:lang w:eastAsia="ru-RU"/>
        </w:rPr>
        <w:t>Котёл</w:t>
      </w:r>
      <w:r w:rsidRPr="006B30DF">
        <w:rPr>
          <w:rFonts w:ascii="Helvetica" w:eastAsia="Times New Roman" w:hAnsi="Helvetica" w:cs="Times New Roman"/>
          <w:color w:val="8B4513"/>
          <w:sz w:val="21"/>
          <w:szCs w:val="21"/>
          <w:lang w:eastAsia="ru-RU"/>
        </w:rPr>
        <w:t> - </w:t>
      </w:r>
      <w:r w:rsidRPr="006B30DF">
        <w:rPr>
          <w:rFonts w:ascii="Helvetica" w:eastAsia="Times New Roman" w:hAnsi="Helvetica" w:cs="Times New Roman"/>
          <w:color w:val="8B4513"/>
          <w:sz w:val="21"/>
          <w:lang w:eastAsia="ru-RU"/>
        </w:rPr>
        <w:t>турбина</w:t>
      </w:r>
      <w:r w:rsidRPr="006B30DF">
        <w:rPr>
          <w:rFonts w:ascii="Helvetica" w:eastAsia="Times New Roman" w:hAnsi="Helvetica" w:cs="Times New Roman"/>
          <w:color w:val="8B4513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8B4513"/>
          <w:sz w:val="21"/>
          <w:lang w:eastAsia="ru-RU"/>
        </w:rPr>
        <w:t>блок</w:t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      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паросиловая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установка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состоящая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из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парового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котла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вспомогательного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оборудования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нормальной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работе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имеет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связей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пару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воде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установками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Поскольку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.—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обычно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служит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электростанции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для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привода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генератора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имеющего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связей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генераторами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такой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иногда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называют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блоком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котёл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генератор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proofErr w:type="gramStart"/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см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hyperlink r:id="rId5" w:history="1">
        <w:r w:rsidRPr="006B30DF">
          <w:rPr>
            <w:rFonts w:ascii="Helvetica" w:eastAsia="Times New Roman" w:hAnsi="Helvetica" w:cs="Times New Roman"/>
            <w:color w:val="5F5DB7"/>
            <w:sz w:val="21"/>
            <w:u w:val="single"/>
            <w:lang w:eastAsia="ru-RU"/>
          </w:rPr>
          <w:t>Блочная тепловая электростанция</w:t>
        </w:r>
      </w:hyperlink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).</w:t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      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из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котла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поступает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цилиндр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высокого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конденсационной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пройдя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который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возвращается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котёл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промежуточный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пароперегреватель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r w:rsidRPr="006B30DF">
        <w:rPr>
          <w:rFonts w:ascii="Helvetica" w:eastAsia="Times New Roman" w:hAnsi="Helvetica" w:cs="Times New Roman"/>
          <w:b/>
          <w:bCs/>
          <w:i/>
          <w:iCs/>
          <w:color w:val="000000"/>
          <w:sz w:val="21"/>
          <w:lang w:eastAsia="ru-RU"/>
        </w:rPr>
        <w:t>рис.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Вторично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перегретый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направляется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цилиндр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среднего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затем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цилиндр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низкого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далее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hyperlink r:id="rId6" w:history="1">
        <w:r w:rsidRPr="006B30DF">
          <w:rPr>
            <w:rFonts w:ascii="Helvetica" w:eastAsia="Times New Roman" w:hAnsi="Helvetica" w:cs="Times New Roman"/>
            <w:color w:val="5F5DB7"/>
            <w:sz w:val="21"/>
            <w:u w:val="single"/>
            <w:lang w:eastAsia="ru-RU"/>
          </w:rPr>
          <w:t>Конденсатор</w:t>
        </w:r>
      </w:hyperlink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Из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конденсатора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вода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откачивается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насосом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Далее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проходит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через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подогреватели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низкого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высокого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hyperlink r:id="rId7" w:history="1">
        <w:r w:rsidRPr="006B30DF">
          <w:rPr>
            <w:rFonts w:ascii="Helvetica" w:eastAsia="Times New Roman" w:hAnsi="Helvetica" w:cs="Times New Roman"/>
            <w:color w:val="5F5DB7"/>
            <w:sz w:val="21"/>
            <w:u w:val="single"/>
            <w:lang w:eastAsia="ru-RU"/>
          </w:rPr>
          <w:t>Деаэратор</w:t>
        </w:r>
      </w:hyperlink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поступает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котёл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Обычно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котёл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ряду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причин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например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условию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охлаждения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труб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поверхностей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нагрева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может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работать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нагрузках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меньших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определённого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значения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поэтому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иногда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например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пусках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вырабатывается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больше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чем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требуется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для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таких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случаях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избыток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сбрасывается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через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редукционное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устройство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конденсатор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       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.— </w:t>
      </w:r>
      <w:proofErr w:type="gramStart"/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может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быть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один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котёл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турбину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моноблок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или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два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котла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дубль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Моноблоки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проще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выгоднее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экономически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Преимущество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proofErr w:type="gramStart"/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дубль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блока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том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что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аварийном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выходе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из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строя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одного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котла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может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работать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половиной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нагрузки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       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.— </w:t>
      </w:r>
      <w:proofErr w:type="gramStart"/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ряд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технологических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процессов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существенно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отличается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аналогичных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процессов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неблочной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электростанции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Например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.—</w:t>
      </w:r>
      <w:proofErr w:type="gramStart"/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пуск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котла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производится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одновременно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Это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позволяет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вести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пуск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плавно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нарастающих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температуре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что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улучшает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условия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прогрева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паропроводов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др</w:t>
      </w:r>
      <w:proofErr w:type="gramStart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э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лементов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оборудования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.—</w:t>
      </w:r>
      <w:proofErr w:type="gramStart"/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регулирование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нагрузки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можно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осуществлять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путём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изменения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свежего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соответствующей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конструкции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котла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Ремонт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котлов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всего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вспомогательного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оборудования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электростанции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производится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одновременно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       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Наращивание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мощностей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теплоэнергетике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осуществляется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основном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путём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сооружения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крупных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блоков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конденсационными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турбинами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proofErr w:type="gramStart"/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См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hyperlink r:id="rId8" w:history="1">
        <w:r w:rsidRPr="006B30DF">
          <w:rPr>
            <w:rFonts w:ascii="Helvetica" w:eastAsia="Times New Roman" w:hAnsi="Helvetica" w:cs="Times New Roman"/>
            <w:color w:val="5F5DB7"/>
            <w:sz w:val="21"/>
            <w:u w:val="single"/>
            <w:lang w:eastAsia="ru-RU"/>
          </w:rPr>
          <w:t>Конденсационная турбина</w:t>
        </w:r>
      </w:hyperlink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СССР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работают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.—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мощностью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150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200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 Мвт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давлением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13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Мн/м</w:t>
      </w:r>
      <w:proofErr w:type="gramStart"/>
      <w:r w:rsidRPr="006B30DF">
        <w:rPr>
          <w:rFonts w:ascii="Helvetica" w:eastAsia="Times New Roman" w:hAnsi="Helvetica" w:cs="Times New Roman"/>
          <w:i/>
          <w:iCs/>
          <w:color w:val="000000"/>
          <w:sz w:val="21"/>
          <w:vertAlign w:val="superscript"/>
          <w:lang w:eastAsia="ru-RU"/>
        </w:rPr>
        <w:t>2</w:t>
      </w:r>
      <w:proofErr w:type="gramEnd"/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130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кгс/см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vertAlign w:val="superscript"/>
          <w:lang w:eastAsia="ru-RU"/>
        </w:rPr>
        <w:t>2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300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500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800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Мвт с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давлением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24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Мн/м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vertAlign w:val="superscript"/>
          <w:lang w:eastAsia="ru-RU"/>
        </w:rPr>
        <w:t>2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(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240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кгс/см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vertAlign w:val="superscript"/>
          <w:lang w:eastAsia="ru-RU"/>
        </w:rPr>
        <w:t>2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,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проектируется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мощностью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1200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Мвт.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Большинство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сооружаемых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блоков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том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числе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мощностью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1200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Мвт, —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моноблоки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Неблочные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установки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строятся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главным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образом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ТЭЦ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где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промежуточный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перегрев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применяется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реже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Однако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ТЭЦ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уже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введены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действие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крупные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теплофикационные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блоки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мощностью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250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Мвт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промежуточным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перегревом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       </w:t>
      </w:r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 Н. С. </w:t>
      </w:r>
      <w:proofErr w:type="spellStart"/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Чернецкий</w:t>
      </w:r>
      <w:proofErr w:type="spellEnd"/>
      <w:r w:rsidRPr="006B30DF">
        <w:rPr>
          <w:rFonts w:ascii="Helvetica" w:eastAsia="Times New Roman" w:hAnsi="Helvetica" w:cs="Times New Roman"/>
          <w:i/>
          <w:iCs/>
          <w:color w:val="000000"/>
          <w:sz w:val="21"/>
          <w:lang w:eastAsia="ru-RU"/>
        </w:rPr>
        <w:t>,</w:t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       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2981325"/>
            <wp:effectExtent l="19050" t="0" r="0" b="0"/>
            <wp:docPr id="1" name="Рисунок 1" descr="Схема блока котёл — турбина: 1 — котёл; 2 — промежуточный пароперегреватель; 3 — цилиндр высокого давления турбины; 4 — цилиндр среднего давления турбины; 5 — цилиндр низкого давления турбины; 6 — генератор; 7 — конденсатор; 8 — насос; 9 — подогреватель низкого давления; 10 — деаэратор; 11 — подогреватель высокого дав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блока котёл — турбина: 1 — котёл; 2 — промежуточный пароперегреватель; 3 — цилиндр высокого давления турбины; 4 — цилиндр среднего давления турбины; 5 — цилиндр низкого давления турбины; 6 — генератор; 7 — конденсатор; 8 — насос; 9 — подогреватель низкого давления; 10 — деаэратор; 11 — подогреватель высокого давления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DF" w:rsidRPr="006B30DF" w:rsidRDefault="006B30DF" w:rsidP="006B30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      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Схема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блока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котёл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турбина: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1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котёл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2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промежуточный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пароперегреватель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3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цилиндр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высокого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4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цилиндр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среднего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5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цилиндр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низкого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турбины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6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генератор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7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конденсатор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8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насос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9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подогреватель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низкого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10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деаэратор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;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11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—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подогреватель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высокого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r w:rsidRPr="006B30DF">
        <w:rPr>
          <w:rFonts w:ascii="Helvetica" w:eastAsia="Times New Roman" w:hAnsi="Helvetica" w:cs="Times New Roman"/>
          <w:color w:val="000000"/>
          <w:sz w:val="21"/>
          <w:lang w:eastAsia="ru-RU"/>
        </w:rPr>
        <w:t>давления</w:t>
      </w:r>
      <w:r w:rsidRPr="006B30D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5426D3" w:rsidRDefault="005426D3"/>
    <w:p w:rsidR="006B30DF" w:rsidRPr="006B30DF" w:rsidRDefault="006B30DF" w:rsidP="006B30DF">
      <w:pPr>
        <w:spacing w:after="300" w:line="240" w:lineRule="auto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r w:rsidRPr="006B30DF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 xml:space="preserve">Пусковые режимы </w:t>
      </w:r>
      <w:proofErr w:type="spellStart"/>
      <w:r w:rsidRPr="006B30DF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энергооборудования</w:t>
      </w:r>
      <w:proofErr w:type="spellEnd"/>
      <w:r w:rsidRPr="006B30DF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 xml:space="preserve"> ТЭС</w:t>
      </w:r>
    </w:p>
    <w:p w:rsidR="006B30DF" w:rsidRPr="006B30DF" w:rsidRDefault="006B30DF" w:rsidP="006B30DF">
      <w:pPr>
        <w:spacing w:line="240" w:lineRule="auto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6B30DF">
        <w:rPr>
          <w:rFonts w:ascii="Times New Roman" w:eastAsia="Times New Roman" w:hAnsi="Times New Roman" w:cs="Times New Roman"/>
          <w:color w:val="999999"/>
          <w:sz w:val="20"/>
          <w:lang w:eastAsia="ru-RU"/>
        </w:rPr>
        <w:t>Рубрика: </w:t>
      </w:r>
      <w:hyperlink r:id="rId10" w:history="1">
        <w:r w:rsidRPr="006B30DF">
          <w:rPr>
            <w:rFonts w:ascii="Times New Roman" w:eastAsia="Times New Roman" w:hAnsi="Times New Roman" w:cs="Times New Roman"/>
            <w:color w:val="999999"/>
            <w:sz w:val="20"/>
            <w:lang w:eastAsia="ru-RU"/>
          </w:rPr>
          <w:t>FAQ</w:t>
        </w:r>
      </w:hyperlink>
    </w:p>
    <w:p w:rsidR="006B30DF" w:rsidRPr="006B30DF" w:rsidRDefault="006B30DF" w:rsidP="006B3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Пуск энергоблока или отдельных котлов и турбин на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неблочных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ТЭС является нестационарным режимом, при котором тепловое состояние буквально всех элементов и узлов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энергооборудования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претерпевает максимальные изменения. К отличительным особенностям этого режима относится возникновение температурных напряжений в тех элементах оборудования (барабаны </w:t>
      </w:r>
      <w:hyperlink r:id="rId11" w:tooltip="Паровой котел" w:history="1">
        <w:r w:rsidRPr="006B30DF">
          <w:rPr>
            <w:rFonts w:ascii="Arial" w:eastAsia="Times New Roman" w:hAnsi="Arial" w:cs="Arial"/>
            <w:color w:val="023266"/>
            <w:sz w:val="24"/>
            <w:szCs w:val="24"/>
            <w:lang w:eastAsia="ru-RU"/>
          </w:rPr>
          <w:t>котельных агрегатов</w:t>
        </w:r>
      </w:hyperlink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корпуса </w:t>
      </w:r>
      <w:hyperlink r:id="rId12" w:tooltip="Паровая турбина" w:history="1">
        <w:r w:rsidRPr="006B30DF">
          <w:rPr>
            <w:rFonts w:ascii="Arial" w:eastAsia="Times New Roman" w:hAnsi="Arial" w:cs="Arial"/>
            <w:color w:val="023266"/>
            <w:sz w:val="24"/>
            <w:szCs w:val="24"/>
            <w:lang w:eastAsia="ru-RU"/>
          </w:rPr>
          <w:t>турбин</w:t>
        </w:r>
      </w:hyperlink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паропроводы), в которых они отсутствуют при рабочих стационарных режимах. Другая особенность заключается в зависимости этих напряжений от скорости изменения температуры, т. е. от интенсивности подвода теплоты. Это означает, что при неосмотрительно выбранной скорости прогрева оборудования в металле некоторых его узлов в пусковом режиме могут появиться температурные напряжения, превосходящие предел прочности или текучести.</w:t>
      </w:r>
    </w:p>
    <w:p w:rsidR="006B30DF" w:rsidRPr="006B30DF" w:rsidRDefault="006B30DF" w:rsidP="006B3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B30DF" w:rsidRPr="006B30DF" w:rsidRDefault="006B30DF" w:rsidP="006B3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 осложняется неодинаковостью массы и конфигурации отдельных элементов оборудования и различием условий подвода теплоты к неподвижным и вращающимся частям оборудования и т. д. В результате этого могут возникнуть локальные неоднородности температурного поля и местные повышенные температурные напряжения. Это обстоятельство также ограничивает темп прогрева и требует применения безопасных приемов повышения температуры и специальных устрой</w:t>
      </w:r>
      <w:proofErr w:type="gram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 дл</w:t>
      </w:r>
      <w:proofErr w:type="gram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обеспечения надежного пуска котельного и турбинного оборудования.</w:t>
      </w:r>
    </w:p>
    <w:p w:rsidR="006B30DF" w:rsidRPr="006B30DF" w:rsidRDefault="006B30DF" w:rsidP="006B3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то же время всегда существует необходимость быстрого ввода резервного оборудования в работу и максимального сокращения длительности пускового периода, что, очевидно, может быть выполнено в основном за счет сокращения </w:t>
      </w: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продолжительности прогрева. Кроме этого, при любых пусках сокращение пусковых расходов топлива и потерь конденсата до минимума является обязательным условием. Наконец, в связи с неравномерностью остывания после остановки отдельных элементов и узлов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энергооборудования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рассогласованием их температур во времени из-за неодинаковых темпов остывания, ставится требование надежного пуска оборудования из любого теплового состояния. Большое разнообразие тепловых состояний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энергооборудования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отношению к способам пуска обычно делят на две категории: «холодное» и «горячее», соответственно и способы пуска носят условные названия — «холодный» и «горячий» пуск.</w:t>
      </w:r>
    </w:p>
    <w:p w:rsidR="006B30DF" w:rsidRPr="006B30DF" w:rsidRDefault="006B30DF" w:rsidP="006B30D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«Холодным» называют состояние оборудования после продолжительных простоев, когда котел охлаждается настолько, что давление среды в нем близко </w:t>
      </w:r>
      <w:proofErr w:type="gram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атмосферному, а температура наиболее горячих узлов турбины (например,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паровпуска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ЦВД) не превышает 150 °С. Это состояние достигается обычно после простоя в течение 3—5 суток. </w:t>
      </w:r>
      <w:proofErr w:type="gram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«Горячим» называют состояние оборудования при простоях до 8 часов после остановки, когда в котле еще сохраняется избыточное давление среды, а температура наиболее горячих узлов турбины равна 400— 420 °С. Графики «холодного» и «горячего» пуска составляются таким образом, чтобы провести прогрев относительно охладившихся элементов с предельными по условиям температурных напряжений скоростями и в то же время не допустить расхолаживания узлов, сохранивших</w:t>
      </w:r>
      <w:proofErr w:type="gram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повышенную температуру. Эти требования и положены в основу определения разности температур греющего пара и металла, а также уровня температур свежего и вторичного пара перед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паровпусками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ЦВД и ЦСД турбины.</w:t>
      </w:r>
    </w:p>
    <w:p w:rsidR="006B30DF" w:rsidRPr="006B30DF" w:rsidRDefault="006B30DF" w:rsidP="006B3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эксплуатационных инструкциях указаны еще особенности пуска из промежуточных между «горячим» и «холодным» — «неостывших» состояний оборудования, а также пуска котлов и турбин из горячего резерва при простоях их до одного часа, когда параметры пара в котле сохраняют еще значения близкие к рабочим.</w:t>
      </w:r>
    </w:p>
    <w:p w:rsidR="006B30DF" w:rsidRPr="006B30DF" w:rsidRDefault="006B30DF" w:rsidP="006B30D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опыта эксплуатации известно, что после 50 часов простоя турбина не достигает еще «холодного» состояния, в то время как опыт остановки котельных агрегатов показывает, что температура самых горячих его элементов (выходные пакеты пароперегревателя, ширмы) становится меньше 120—140</w:t>
      </w:r>
      <w:proofErr w:type="gram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уже через 40—48 часов после остановки.</w:t>
      </w:r>
    </w:p>
    <w:p w:rsidR="006B30DF" w:rsidRPr="006B30DF" w:rsidRDefault="006B30DF" w:rsidP="006B3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указанные выше обстоятельства сильно усложняют пусковые режимы, требуют повышенного внимания и четкости действий эксплуатационного персонала во избежание аварийных последствий. Практика эксплуатации показывает, что из всего числа повреждений и отказов котельных агрегатов, турбин и вспомогательного теплосилового оборудования более 50 % возникает именно при пусках и остановках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энергооборудования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из-за недостаточного </w:t>
      </w:r>
      <w:proofErr w:type="gram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состоянием оборудования и нарушений правил пуска.</w:t>
      </w:r>
    </w:p>
    <w:p w:rsidR="006B30DF" w:rsidRPr="006B30DF" w:rsidRDefault="006B30DF" w:rsidP="006B30D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связи с этим к пусковым режимам предъявляются в первую очередь требования надежности. В процессе растопки котельного агрегата и повышения параметров пара должен поддерживаться надежный гидравлический и температурный режим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парогенерирующих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экранов. Прогрев оборудования при его пусках не должен вызывать опасных температурных напряжений и тепловых ударов. Водный режим котельного агрегата должен поддерживаться в соответствии с установленными нормами. Как указывалось выше, другим обязательным требованием является всемерное сокращение продолжительности пуска, что необходимо для своевременного ввода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энергооборудования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работу и сокращения пусковых </w:t>
      </w: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расходов топлива и потерь конденсата. Особенно важно соблюдение этого условия для ускорения ввода резервного оборудования, заменяющего выбывшее из строя.</w:t>
      </w:r>
    </w:p>
    <w:p w:rsidR="006B30DF" w:rsidRPr="006B30DF" w:rsidRDefault="006B30DF" w:rsidP="006B30D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успешного пуска блоков, отдельных котлов и турбин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неблочных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ТЭС на основе многочисленных испытаний и опыта эксплуатации разработаны типовые пусковые схемы, учитывающие характерные особенности различных типов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энергооборудования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Эти схемы отличаются от рабочих тепловых схем ТЭС наличием дополнительных устройств и элементов, предназначенных для ускорения, повышения надежности и экономичности пусков.</w:t>
      </w:r>
    </w:p>
    <w:p w:rsidR="006B30DF" w:rsidRPr="006B30DF" w:rsidRDefault="006B30DF" w:rsidP="006B30D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разработке пусковых схем учитывались следующие требования:</w:t>
      </w:r>
    </w:p>
    <w:p w:rsidR="006B30DF" w:rsidRPr="006B30DF" w:rsidRDefault="006B30DF" w:rsidP="006B30D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пуск энергоблока при любом тепловом состоянии котла, паропроводов, турбины без ущерба для их надежности;</w:t>
      </w:r>
    </w:p>
    <w:p w:rsidR="006B30DF" w:rsidRPr="006B30DF" w:rsidRDefault="006B30DF" w:rsidP="006B30D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минимальная продолжительность пуска, пусковых затрат топлива и потерь конденсата при оптимальных условиях прогрева всех элементов котельного агрегата, паропроводов и турбины;</w:t>
      </w:r>
    </w:p>
    <w:p w:rsidR="006B30DF" w:rsidRPr="006B30DF" w:rsidRDefault="006B30DF" w:rsidP="006B30D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водного режима при пуске в соответствии с нормами;</w:t>
      </w:r>
    </w:p>
    <w:p w:rsidR="006B30DF" w:rsidRPr="006B30DF" w:rsidRDefault="006B30DF" w:rsidP="006B30D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максимальное упрощение пусковых операций; унификация программы автоматического управления пуском; удержание энергоблока в работе при сбросах нагрузки до уровня нагрузки холостого хода или собственных нужд, что требуется для сохранения надежности энергосистемы в целом;</w:t>
      </w:r>
    </w:p>
    <w:p w:rsidR="006B30DF" w:rsidRPr="006B30DF" w:rsidRDefault="006B30DF" w:rsidP="006B30D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ремонт одного из котлов </w:t>
      </w:r>
      <w:proofErr w:type="spellStart"/>
      <w:proofErr w:type="gram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дубль-блока</w:t>
      </w:r>
      <w:proofErr w:type="spellEnd"/>
      <w:proofErr w:type="gram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работе второго котла и турбины;</w:t>
      </w:r>
    </w:p>
    <w:p w:rsidR="006B30DF" w:rsidRPr="006B30DF" w:rsidRDefault="006B30DF" w:rsidP="006B30D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обеспечение надежного гидравлического и температурного режима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парогенерирующих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экранов;</w:t>
      </w:r>
    </w:p>
    <w:p w:rsidR="006B30DF" w:rsidRPr="006B30DF" w:rsidRDefault="006B30DF" w:rsidP="006B30D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поддержание в прямоточных котлах при всех пусковых и переменных режимах давления, равного рабочему;</w:t>
      </w:r>
    </w:p>
    <w:p w:rsidR="006B30DF" w:rsidRPr="006B30DF" w:rsidRDefault="006B30DF" w:rsidP="006B30D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пуск энергоблока при скользящих параметрах пара, т. е. при постепенном нарастании расходов, давлений и температур свежего и вторично перегретого пара.</w:t>
      </w:r>
    </w:p>
    <w:p w:rsidR="006B30DF" w:rsidRPr="006B30DF" w:rsidRDefault="006B30DF" w:rsidP="006B30D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Процедура пуска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энергооборудования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разбивается на несколько этапов: </w:t>
      </w:r>
      <w:hyperlink r:id="rId13" w:tooltip="Подготовка оборудования к пуску" w:history="1">
        <w:r w:rsidRPr="006B30DF">
          <w:rPr>
            <w:rFonts w:ascii="Arial" w:eastAsia="Times New Roman" w:hAnsi="Arial" w:cs="Arial"/>
            <w:color w:val="023266"/>
            <w:sz w:val="24"/>
            <w:szCs w:val="24"/>
            <w:lang w:eastAsia="ru-RU"/>
          </w:rPr>
          <w:t>подготовку к пуску</w:t>
        </w:r>
      </w:hyperlink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растопку котельного агрегата (</w:t>
      </w:r>
      <w:hyperlink r:id="rId14" w:tooltip="Пуск барабанных котельных агрегатов на неблочной ТЭС" w:history="1">
        <w:r w:rsidRPr="006B30DF">
          <w:rPr>
            <w:rFonts w:ascii="Arial" w:eastAsia="Times New Roman" w:hAnsi="Arial" w:cs="Arial"/>
            <w:color w:val="023266"/>
            <w:sz w:val="24"/>
            <w:szCs w:val="24"/>
            <w:lang w:eastAsia="ru-RU"/>
          </w:rPr>
          <w:t>пуск барабанных котельных агрегатов</w:t>
        </w:r>
      </w:hyperlink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15" w:tooltip="Пуск прямоточных котельных агрегатов" w:history="1">
        <w:r w:rsidRPr="006B30DF">
          <w:rPr>
            <w:rFonts w:ascii="Arial" w:eastAsia="Times New Roman" w:hAnsi="Arial" w:cs="Arial"/>
            <w:color w:val="023266"/>
            <w:sz w:val="24"/>
            <w:szCs w:val="24"/>
            <w:lang w:eastAsia="ru-RU"/>
          </w:rPr>
          <w:t>пуск прямоточных котельных агрегатов</w:t>
        </w:r>
      </w:hyperlink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прогрев паропроводов и запорной арматуры, </w:t>
      </w:r>
      <w:hyperlink r:id="rId16" w:tooltip="Условия прогрева турбины при пуске" w:history="1">
        <w:r w:rsidRPr="006B30DF">
          <w:rPr>
            <w:rFonts w:ascii="Arial" w:eastAsia="Times New Roman" w:hAnsi="Arial" w:cs="Arial"/>
            <w:color w:val="023266"/>
            <w:sz w:val="24"/>
            <w:szCs w:val="24"/>
            <w:lang w:eastAsia="ru-RU"/>
          </w:rPr>
          <w:t>прогрев турбины</w:t>
        </w:r>
      </w:hyperlink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синхронизацию генератора,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нагружение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турбогенератора. Основу технологии пусковых режимов составляет пуск при скользящих параметрах пара, когда многие из указанных этапов совмещаются для сокращения длительности пуска и повышения его надежности. Такое </w:t>
      </w:r>
      <w:hyperlink r:id="rId17" w:tooltip="Блочный (совмещенный) пуск турбины" w:history="1">
        <w:r w:rsidRPr="006B30DF">
          <w:rPr>
            <w:rFonts w:ascii="Arial" w:eastAsia="Times New Roman" w:hAnsi="Arial" w:cs="Arial"/>
            <w:color w:val="023266"/>
            <w:sz w:val="24"/>
            <w:szCs w:val="24"/>
            <w:lang w:eastAsia="ru-RU"/>
          </w:rPr>
          <w:t>совмещение пуска возможно лишь на блочных ТЭС</w:t>
        </w:r>
      </w:hyperlink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 поэтому на </w:t>
      </w:r>
      <w:proofErr w:type="spellStart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неблочных</w:t>
      </w:r>
      <w:proofErr w:type="spellEnd"/>
      <w:r w:rsidRPr="006B30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ТЭС, как правило, производится индивидуальный (независимый) пуск котлов и турбин</w:t>
      </w:r>
    </w:p>
    <w:p w:rsidR="006B30DF" w:rsidRDefault="006B30DF"/>
    <w:sectPr w:rsidR="006B30DF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0FD9"/>
    <w:multiLevelType w:val="multilevel"/>
    <w:tmpl w:val="3C7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EC7D43"/>
    <w:multiLevelType w:val="multilevel"/>
    <w:tmpl w:val="982A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0DF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01AE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30DF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6B3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30DF"/>
    <w:rPr>
      <w:color w:val="0000FF"/>
      <w:u w:val="single"/>
    </w:rPr>
  </w:style>
  <w:style w:type="character" w:customStyle="1" w:styleId="w">
    <w:name w:val="w"/>
    <w:basedOn w:val="a0"/>
    <w:rsid w:val="006B30DF"/>
  </w:style>
  <w:style w:type="character" w:styleId="a4">
    <w:name w:val="Emphasis"/>
    <w:basedOn w:val="a0"/>
    <w:uiPriority w:val="20"/>
    <w:qFormat/>
    <w:rsid w:val="006B30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B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DF"/>
    <w:rPr>
      <w:rFonts w:ascii="Tahoma" w:hAnsi="Tahoma" w:cs="Tahoma"/>
      <w:sz w:val="16"/>
      <w:szCs w:val="16"/>
    </w:rPr>
  </w:style>
  <w:style w:type="character" w:customStyle="1" w:styleId="entry-category">
    <w:name w:val="entry-category"/>
    <w:basedOn w:val="a0"/>
    <w:rsid w:val="006B30DF"/>
  </w:style>
  <w:style w:type="character" w:customStyle="1" w:styleId="hidden-xs">
    <w:name w:val="hidden-xs"/>
    <w:basedOn w:val="a0"/>
    <w:rsid w:val="006B30DF"/>
  </w:style>
  <w:style w:type="paragraph" w:styleId="a7">
    <w:name w:val="Normal (Web)"/>
    <w:basedOn w:val="a"/>
    <w:uiPriority w:val="99"/>
    <w:semiHidden/>
    <w:unhideWhenUsed/>
    <w:rsid w:val="006B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601AE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6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808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bse/97710/%D0%9A%D0%BE%D0%BD%D0%B4%D0%B5%D0%BD%D1%81%D0%B0%D1%86%D0%B8%D0%BE%D0%BD%D0%BD%D0%B0%D1%8F" TargetMode="External"/><Relationship Id="rId13" Type="http://schemas.openxmlformats.org/officeDocument/2006/relationships/hyperlink" Target="http://tesiaes.ru/?p=90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.academic.ru/dic.nsf/bse/82947/%D0%94%D0%B5%D0%B0%D1%8D%D1%80%D0%B0%D1%82%D0%BE%D1%80" TargetMode="External"/><Relationship Id="rId12" Type="http://schemas.openxmlformats.org/officeDocument/2006/relationships/hyperlink" Target="http://tesiaes.ru/?p=8414" TargetMode="External"/><Relationship Id="rId17" Type="http://schemas.openxmlformats.org/officeDocument/2006/relationships/hyperlink" Target="http://tesiaes.ru/?p=9122" TargetMode="External"/><Relationship Id="rId2" Type="http://schemas.openxmlformats.org/officeDocument/2006/relationships/styles" Target="styles.xml"/><Relationship Id="rId16" Type="http://schemas.openxmlformats.org/officeDocument/2006/relationships/hyperlink" Target="http://tesiaes.ru/?p=90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bse/97703/%D0%9A%D0%BE%D0%BD%D0%B4%D0%B5%D0%BD%D1%81%D0%B0%D1%82%D0%BE%D1%80" TargetMode="External"/><Relationship Id="rId11" Type="http://schemas.openxmlformats.org/officeDocument/2006/relationships/hyperlink" Target="http://tesiaes.ru/?p=8401" TargetMode="External"/><Relationship Id="rId5" Type="http://schemas.openxmlformats.org/officeDocument/2006/relationships/hyperlink" Target="https://dic.academic.ru/dic.nsf/bse/69790/%D0%91%D0%BB%D0%BE%D1%87%D0%BD%D0%B0%D1%8F" TargetMode="External"/><Relationship Id="rId15" Type="http://schemas.openxmlformats.org/officeDocument/2006/relationships/hyperlink" Target="http://tesiaes.ru/?p=9086" TargetMode="External"/><Relationship Id="rId10" Type="http://schemas.openxmlformats.org/officeDocument/2006/relationships/hyperlink" Target="http://tesiaes.ru/?cat=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tesiaes.ru/?p=9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2020-06-01T03:57:00Z</dcterms:created>
  <dcterms:modified xsi:type="dcterms:W3CDTF">2020-06-01T04:12:00Z</dcterms:modified>
</cp:coreProperties>
</file>