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45" w:rsidRDefault="00871845" w:rsidP="00871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718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uble arrow" style="width:24pt;height:24pt"/>
        </w:pict>
      </w:r>
    </w:p>
    <w:p w:rsidR="00752829" w:rsidRDefault="00752829" w:rsidP="00871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11.06.2020 гр.19-2 Техническое обслуживание турбинного оборудования. Захаров Г.П.</w:t>
      </w:r>
    </w:p>
    <w:p w:rsidR="00871845" w:rsidRPr="00752829" w:rsidRDefault="00752829" w:rsidP="00752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Практическая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работа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r w:rsidR="00871845" w:rsidRPr="0075282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</w:t>
      </w:r>
      <w:proofErr w:type="gramEnd"/>
      <w:r w:rsidR="00871845" w:rsidRPr="0075282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ОСТРОЕНИЕ</w:t>
      </w:r>
      <w:proofErr w:type="spellEnd"/>
      <w:r w:rsidR="00871845" w:rsidRPr="0075282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ПРОЦЕССА РАСШИРЕНИЯ ПАРА В ГЛАВНОЙ ТУРБИНЕ В H,S – ДИАГРАММЕ</w:t>
      </w:r>
    </w:p>
    <w:p w:rsidR="00871845" w:rsidRPr="00871845" w:rsidRDefault="00871845" w:rsidP="0087184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Расчет тепловых схем ТУ АЭС основан на уравнениях тепловых балансов, материальных балансов рабочего тела, а также на уравнениях для определения давлений потоков в узловых точках схемы.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При проектном расчете тепловой схемы на номинальной нагрузке потери давлений в ее элементах, а также в трубопроводах обвязки принимаются по приближенным значениям или по данным эксплуатации аналогичных ТУ.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Условный процесс расширения пара в турбине строится с использованием значений внутренних относительных КПД цилиндров турбины по состоянию перед их соплами. Основные характеристики турбин АЭС, в т.ч. и внутренние относительные КПД цилиндров по данным заводов–изготовителей приведены в [2].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Методика построения процесса расширения пара в турбине на номинальной нагрузке приведена в [1, 2, 4]. Для выбранной ТУ из [2, 3, 4] определяются значения внутренних относительных КПД для всех цилиндров основной турбины и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турбопривода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питательного насоса (ТПН)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Построение процесса расширения пара в ЦВД.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Состояние пара перед стопорным клапаном турбины определяется параметрами 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которые обычно задаются либо определяются по прототипу.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Можно также в проектном расчете исходить из того, что известны термодинамические свойства пара на выходе из парогенератора (ПГ) и гидравлические сопротивления парового тракта от ПГ до СРК. Это сопротивление можно оценить величиной 4 – 6 % от давления в ПГ. Тогда давление перед СРК турбины определится как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×(1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пар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= (0,94…0,96)×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0,96×Р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=0,96.6,27=6,019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 [5] можно определить значения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’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×(1–x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 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”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          (4)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где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’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”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энтальпия воды и сухого насыщенного пара на линии насыщения, соответственно.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степень сухости пара перед регулирующими органами турбины.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Один из способов расчета параметров в узловых точках на линии процесса расширения пара в турбине – использование программы МЭИ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Water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Steam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Pro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для расчета термодинамических параметров воды и водяного пара.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=0.995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(Р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       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=2776.504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Потери давления в паровпускных устройствах турбины 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в соответствии с рекомендациями [2, 3] принимают равными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(0,03 ¸ 0,05)×Р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         (5)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где 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– давление перед регулирующими органами турбины;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Давление пара перед соплами первой ступени ЦВД (Р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¢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), с учетом величины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определится как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¢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(1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)×Р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(6)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¢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0,95×Р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=0,95.6,019= 5,718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x’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=f(p’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)=0.993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(p’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)=5,892 кДж/(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.К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Точка, характеризующая начало процесса расширения в ЦВД находится на пересечении изобары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¢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с линией энтальпии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(рис. 2).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Энтальпия в конце действительного процесса расширения в ЦВД при заданном разделительном давлении (давлении за последней ступенью ЦВД) определится как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)×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    (7)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(Р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2503,5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=0,83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)×h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=2776,5-(2776,5-2503,5)×0,83=2549,9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где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энтальпия в конце адиабатического процесса расширения пара в ЦВД (определяется по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h,S-диаграмме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при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¢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Когда разделительное давление не задано (в проектном расчете) его можно определить, исходя из расчетной температуры ОК и ПВ на выходе из ПНД и ПВД системы регенерации (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см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 раздел 4).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 – располагаемый или адиабатический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теплоперепад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ЦВД.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=2776,5 – 2503,5=272,9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Разность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называется действительным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теплоперепадом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ЦВД.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=2776,5 – 2503,5– 2549,9=226,6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Точка на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диаграмме, характеризующая конец действительного процесса расширения в ЦВД, находится на пересечении изобары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с линией энтальпии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(рис. 2). Эта же точка определяет влажность пара на выходе из ЦВД (на входе в сепаратор),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(Р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)=0,880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В [3, 4] приведены усредненные значения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по цилиндрам в целом, без учета изменений этого КПД по отдельным ступеням (группам ступеней). Поэтому для получения условной линии действительного процесса расширения пара в цилиндре, достаточно соединить точки на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диаграмме, характеризующие начало и конец этого процесса.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Определяем энтальпии в отборах и на выходе из ЦВД при идеальном процессе расширения.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lastRenderedPageBreak/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)= 2621,7 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кДж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/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)= 2564,0 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кДж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/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)= 2503,5 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кДж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/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Определим значения энтальпий в отборах и на выходе из ЦВД в действительном процессе расширения пара в ЦВД (с учетом значения η =0,83)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2776,5-(2776,5-2621,7).0,83= 2648,0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2776,5-(2776,5-2564,0).0,83=2600,0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2776,5-(2776,5-2503,5).0,83=2549,9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 основании полученных давлений в отборах и полученных энтальпий пара определим значения энтропий, температуры и степени сухости пара в характерных точках процесса в ЦВД.             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5,945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5,967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5,992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=f(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224,1 °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=f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207,4 °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=f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190,6 °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0,916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0,897     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=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f(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0,880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Аналогично выполняется построение процесса расширения пара в других цилиндрах главной турбины и турбины привода питательного насоса.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Для определения параметров пара в камерах отборов главной турбины на линию действительного процесса расширения пара наносятся изобары, соответствующие давлениям в камерах отборов турбины. В точках пересечения изобар с линией действительного процесса расширения пара определяются энтальпии пара в камерах отборов.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8039100" cy="4733925"/>
            <wp:effectExtent l="19050" t="0" r="0" b="0"/>
            <wp:docPr id="13" name="Рисунок 13" descr="https://konspekta.net/studopediaru/baza21/4400177011678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ru/baza21/4400177011678.files/image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Рис. 2. Построение процесса расширения пара в турбине и в приводной турбине питательного насоса в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–диаграмме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Построение процесса расширения пара в ЦНД.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Параметры пара на входе в ЦНД определяются параметрами пара на выходе из СПП.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Потери давления до СПП (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Δ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=0.02%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)=1,273.(1-0,02)= 1,247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6,508 кДж/(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)=2781,1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Потери давления в СПП 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), согласно [3, 4] определяют по формуле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спп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0,08×Р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разд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(8)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Этот перепад равномерно распределяем между сепаратором и ступенями перегрева пара. Обозначив число ступеней в СПП (сепаратор, 1-я и 2-я ступени перегрева).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Состояние пара за сепаратором.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разд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×(1–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(9)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=0.02%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)= 1,247.(1-0,02)= 1,222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Мпа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188,8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Конструкция сепарационных устройств современных СПП обеспечивает влажность пара на выходе из сепаратора не более 1 %, т.е.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0,99.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По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по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 или с использованием соотношения (4) и [5] определяем энтальпию пара на выходе из сепаратора 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6,515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c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2784,4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Состояние пара за первой ступенью пароперегревателя (ПП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1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определяется давлением пара за первой ступенью (Р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), которое можно рассчитать с помощью (9), и температурой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которая определяется по заводским данным [3, 4]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1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×(1–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0.03%   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1,222.(1-0,03)= 1,186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Для определения температуры и энтальпии на выходе из ПП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1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можно задаться величиной перегрева пара на выходе из ПП1. Она обычно колеблется в диапазоне 5… 10 °С.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найденной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определяем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и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s,пп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1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)=187,4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s,пп1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+10=197,4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6,584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2810,3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Состояние пара за второй ступенью пароперегревателя 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определяется аналогично первой ступени.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×(1–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/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n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),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250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0.03%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1,186.(1-0,03)= 1,150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6,853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2937,5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определяется по заводским данным [3, 4]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Процесс расширения пара в части среднего давления строится аналогично ЦВД. Состояние пара перед соплами первой ступени ЦСД, принимая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дросселирование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клапанах ЦСД в соответствии с (2), определится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(1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)×Р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Начальная точка процесса расширения пара в ЦСД находится на пересечении изобары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линии энтальпии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 Конечная точка процесса расширения пара в ЦСД определяется давлением за последней ступенью ЦСД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см. [3, 4]).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ЦCД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1,150.(1-0,02)= 1.127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ЦCД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250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2937.5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6.864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Построение процесса расширения пара в ЦНД.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 турбинах, где отсутствует ЦСД, состояние пара на входе в ЦНД определяется аналогично тому, как описано выше для ЦСД.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Для турбин, в которых присутствует ЦСД, состояние пара перед соплами первой ступени ЦНД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), принимая величину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дросселирования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размере, рекомендуемом [3, 4], определится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(1 –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)×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цсд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вых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Начальная точка процесса расширения в ЦНД на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 находится на пересечении изобары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линии энтальпии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871845" w:rsidRPr="00871845" w:rsidRDefault="00871845" w:rsidP="00871845">
      <w:pPr>
        <w:spacing w:after="0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вых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ЦСД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.(1-Δp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0,275.(1-0,05)= 0.261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2708.1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7.011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Параметры в конце действительного процесса расширения пара в ЦНД определятся давлением за последней ступенью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[3, 4].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=0,0045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Мпа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=0,82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2125,6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Энтальпия пара в конце действительного процесса расширения в ЦНД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определится из соотношения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ад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)×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ад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энтальпия в конце адиабатического процесса расширения пара в ЦНД.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Параметры пара в камерах отборов ЦСД и ЦНД определяются аналогично тому, как это описано для ЦВД.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)×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=2708-(2708-2125,6) .0,82= 2230,5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Состояние пара на входе в конденсатор главной турбины с учетом потерь с выходной скоростью в последней ступени ЦНД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.с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определится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.с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(10)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по [4]: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.с.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24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.с.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2254,5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Аналогично выполняется построение процесса расширения пара в других цилиндрах главной турбины и турбины привода питательного насоса.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Для определения параметров пара в камерах отборов главной турбины на линию действительного процесса расширения пара наносятся изобары, соответствующие давлениям в камерах отборов турбины. В точках пересечения изобар с линией действительного процесса расширения пара определяются энтальпии пара в камерах отборов.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Определяем энтальпии в отборах и на выходе из ЦНД при идеальном процессе расширения.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2811,9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2657,7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2550,2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2372,6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Определим значения энтальпий в отборах и на выходе из ЦНД в действительном процессе расширения пара в ЦНД (с учетом значения η =0,82)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=2937,6-(2937,6-2811,9).0,82=2834,5кДж/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=2937,6-(2937,6-2657,7).0,82=2708,0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=2937,6-(2937,6-2550,2).0,82=2578,6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=2937,6-(2937,6-2372,6).0,82=2433,0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=2937,6-(2937,6-2125,6).0,82=2230,5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На основании полученных давлений в отборах и полученных энтальпий пара определим значения энтропий, температуры и степени сухости пара в характерных точках процесса в ЦНД.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6,913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6,989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7,088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7,187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7,356 кДж/(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193,4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130,5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100,4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70,2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31,0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°С</w:t>
      </w:r>
      <w:proofErr w:type="gram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перегретый пар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V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0,994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(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0,956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(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VII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VII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0,917                                   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(</w:t>
      </w:r>
      <w:proofErr w:type="spellStart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t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)= 0,865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k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val="en-US"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 +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h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вс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ЦНД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 xml:space="preserve">=2254,5 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кДж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val="en-US" w:eastAsia="ru-RU"/>
        </w:rPr>
        <w:t>/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x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0,875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Построение процесса в приводной турбине питательного насоса.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Состояние пара перед соплами первой ступени приводной турбины определяется гидравлическими сопротивлениями участка паропровода от СПП до приводной турбины и паровпускных устройств.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 соответствии с [3, 4] гидравлическое сопротивление паропроводов (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рекомендуется принимать из расчета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(0,04¸0,09)Р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       (11)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Тогда давление перед соплами первой ступени приводной турбины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определится на основании соотношения (5) и (11).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Окончательно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×(1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               (12)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Начальная точка процесса расширения пара в приводной турбине на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 находится на пересечении изобары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с линией энтальпии 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Энтальпия в конце действительного процесса расширения пара в турбине привода питательного насоса и энтальпия пара на входе в конденсатор приводной турбины определяется значением давления за последней ступенью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, усредненным КПД приводной турбины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и потерями с выходной скоростью в приводной турбине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в.с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аналогично тому, как это определялось в ЦНД главной турбины.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0.09 %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=0.02 %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×(1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1,024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в.с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=14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2077,1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тп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=0,79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x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=f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p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s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0,804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-(h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пп2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ид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).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η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oi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 2257,8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k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в.с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=2271,8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по [3] мощность приводной турбины питательного насоса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W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11600    кВт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Определяется расход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парп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турбине по формуле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 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=W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/(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-h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тп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)= 17,1 кг/с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На основании полученных параметров пара на входе и выходе цилиндров главной турбины, турбины привода питательного насоса строится процесс расширения пара в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h,S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– диаграмме (рис.2.).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Давление в деаэраторе постоянное и поддерживается оно специальным регулятором давления. Поэтому давление в отборе для питания греющим паром деаэратор должно быть выше, чем давление в деаэраторе. Причем, это превышение должно компенсировать не только гидравлическое сопротивление тракта от турбины до деаэратора, но и возможные колебания давления в камере отбора турбины, связанные с изменениями нагрузки. Обычно деаэратор использует греющий пар следующего за ним подогревателя высокого давления.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Температура конденсата греющего пара в подогревателях, где не предусмотрено охлаждение конденсата, равна температуре насыщения при давлении в подогревателе. Температура конденсата греющего пара в подогревателях с охлаждением дренажа принимается примерно такой же, как температура насыщения в предыдущем по ходу воды подогревателе.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Энтальпия греющего пара в регенеративных, сетевых подогревателях и деаэраторе, с учетом путевых потерь теплоты в окружающую среду, должна быть уменьшена по сравнению с энтальпией в камере отбора путем умножения на соответствующий коэффициент потерь теплоты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пт</w:t>
      </w:r>
      <w:proofErr w:type="spellEnd"/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 Расчет путевых потерь теплоты можно выполнить по формуле [1]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пот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1 – 0,001×i,                                                                               (16)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здесь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имеет то же значение, что и в (1).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Т.о. коэффициенты тепловых потерь при транспорте греющего пара от Т к различным регенеративным подогревателям будут иметь значения: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3984"/>
        <w:gridCol w:w="150"/>
        <w:gridCol w:w="5230"/>
      </w:tblGrid>
      <w:tr w:rsidR="00871845" w:rsidRPr="00871845" w:rsidTr="00871845">
        <w:trPr>
          <w:trHeight w:val="15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1845" w:rsidRPr="00871845" w:rsidTr="00871845">
        <w:trPr>
          <w:trHeight w:val="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8"/>
            </w:tblGrid>
            <w:tr w:rsidR="00871845" w:rsidRPr="008718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1845" w:rsidRPr="00871845" w:rsidRDefault="00871845" w:rsidP="00871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7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0,993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6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0,994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5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0,995  </w:t>
                  </w:r>
                </w:p>
              </w:tc>
            </w:tr>
          </w:tbl>
          <w:p w:rsidR="00871845" w:rsidRPr="00871845" w:rsidRDefault="00871845" w:rsidP="0087184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1845" w:rsidRPr="00871845" w:rsidTr="00871845">
        <w:trPr>
          <w:trHeight w:val="12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09"/>
            </w:tblGrid>
            <w:tr w:rsidR="00871845" w:rsidRPr="0087184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1845" w:rsidRPr="00871845" w:rsidRDefault="00871845" w:rsidP="00871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proofErr w:type="gram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4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0,996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3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0,997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2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= 0,998 </w:t>
                  </w:r>
                  <w:proofErr w:type="spellStart"/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>пот</w:t>
                  </w:r>
                  <w:proofErr w:type="spellEnd"/>
                  <w:r w:rsidRPr="008718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bscript"/>
                      <w:lang w:eastAsia="ru-RU"/>
                    </w:rPr>
                    <w:t xml:space="preserve"> 1</w:t>
                  </w:r>
                  <w:r w:rsidRPr="008718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= 0,999  </w:t>
                  </w:r>
                </w:p>
              </w:tc>
            </w:tr>
          </w:tbl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845" w:rsidRPr="00871845" w:rsidTr="00871845">
        <w:trPr>
          <w:trHeight w:val="2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845" w:rsidRPr="00871845" w:rsidRDefault="00871845" w:rsidP="0087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Полученные результаты приведены в таблице 2. Значения расходов определяются в 5 части.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Таблица 2.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Таблица расчета параметров </w:t>
      </w:r>
      <w:proofErr w:type="gramStart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пара</w:t>
      </w:r>
      <w:proofErr w:type="gramEnd"/>
      <w:r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в камерах отбора турбины г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реющего пара.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30"/>
        <w:gridCol w:w="450"/>
        <w:gridCol w:w="870"/>
        <w:gridCol w:w="1198"/>
        <w:gridCol w:w="630"/>
        <w:gridCol w:w="525"/>
      </w:tblGrid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кДж/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кДж/(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2578,62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</w:t>
            </w:r>
            <w:proofErr w:type="spellEnd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871845" w:rsidRPr="00871845" w:rsidTr="008718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пар П</w:t>
            </w:r>
            <w:proofErr w:type="gramStart"/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71845" w:rsidRPr="00871845" w:rsidRDefault="00871845" w:rsidP="00871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</w:tbl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Нагреваемая среда (основной конденсат и питательная вода) движутся по системе регенерации под напором, создаваемым конденсатными и питательными насосами. Напор, создаваемый питательным насосом, можно определить по формуле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пар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пит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ркп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пвд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+DР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–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,(17)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здесь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напор, создаваемый питательным насосом,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давление пара перед СРК турбины,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пар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гидравлическое сопротивление паропроводов,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пар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Р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0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×(0,03¸0,05);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парогенератора по стороне рабочего тела. В качестве приблизительной оценки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ПГ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для расчета напора питательного насоса можно принять его равным 0,07¸0,09 МПа [3];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пит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трубопроводов питательной воды от последнего ПВД до ПГ.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пит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0,2¸0,3 МПа [1, 3];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сопротивление регулирующего клапана питания,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1 МПа [3];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падение давления в системе ПВД. В расчетах тепловых схем можно использовать заводские данные о сопротивлениях ПВД, а также использовать приблизительную оценку этой величины,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пвд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0,25×n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пвд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геодезический напор, определяется разницей в высотах мест установки парогенератора и деаэратора;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0,01DН, МПа ([DН]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.в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од.ст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давление в деаэраторе, МПа.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Напор конденсатного насоса при одноподъемной схеме установки насосов в тракте основного конденсата определяется формулой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.н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э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о.г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+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+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боу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конд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рку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                         (18)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где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давление в деаэраторе,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всех ПНД. Можно оценить по данным заводов-изготовителей, либо из соотношения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пнд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» 0,15×n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падение давления в вынесенных охладителях дренажей. В расчетах тепловых схем можно примерно оценить по формуле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0,05×n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од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э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падение давления на охладителях эжекторов (основного и уплотнения).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э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(0,05¸0,07)×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n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э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.г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падение давления в охладителе генератора,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о.г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0,1¸0,2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боу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блочной обессоливающей установки.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боу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0,3¸0,5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конд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соединительных трубопроводов тракта основного конденсата.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конд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0,1¸0,2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рку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падение давления на регулирующем клапане уровня в конденсаторе,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0,2¸0,4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геодезический напор, определяется разницей в высотах мест установки деаэратора и конденсатного насоса, МПа.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геод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0,01×DН, МПа ([DН] 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.в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од.ст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Если предусмотрена установка конденсатных насосов первого и второго подъемов, то для каждого из них составляются свои расчетные уравнения для определения потребного напора. Исходным для расчета напора насоса первого подъема является необходимое давление на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всасе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насоса второго подъема. Давления в узловых точках тракта основного конденсата определяются по напору конденсатного насоса с учетом гидравлических сопротивлений по водяной стороне ПНД.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Напор дренажных насосов рассчитывают по разности давлений между точками перекачки дренажа с учетом гидравлических сопротивлений трубопроводов.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lastRenderedPageBreak/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см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+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 (19)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где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см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давление в камере смешения дренажа с основным конденсатом,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тр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гидравлическое сопротивление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конденсатопроводов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 0,05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ркр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гидравлическое сопротивление регулирующего клапана расхода;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i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– давление греющего пара в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i-ом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ПНД, из которого осуществляется слив дренажа, МПа.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Полученные по (19) значения напоров дренажных насосов необходимы для определения повышения энтальпии конденсата в дренажном насосе. Повышение энтальпии воды в насосах (в кДж/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кг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 определяется по формуле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,              (20)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где 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напор насоса в МПа;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v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средний удельный объем перекачиваемой среды в м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/кг, определяется по температуре и среднему давлению среды в насосе; (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0,001 м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/кг)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– КПД насоса.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(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0,8 ¸ 0,82,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»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» 0,76 ¸ 0,78).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Таким </w:t>
      </w:r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образом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палучаются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=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 9,20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.н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=2,52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к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.н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=2,63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дн1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=1,28 МПа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дн2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=1,49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Мпа</w:t>
      </w:r>
      <w:proofErr w:type="spellEnd"/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Повышение энтальпии воды в насосах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proofErr w:type="spellStart"/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proofErr w:type="spellEnd"/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</w:t>
      </w:r>
      <w:proofErr w:type="spell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пн</w:t>
      </w:r>
      <w:proofErr w:type="spell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11,218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.н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к.н1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к.н1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=3,229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.н</w:t>
      </w:r>
      <w:proofErr w:type="gram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к.н2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к.н2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=3,371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1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дн1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=1,639 кДж/кг</w:t>
      </w:r>
    </w:p>
    <w:p w:rsidR="00871845" w:rsidRPr="00871845" w:rsidRDefault="00871845" w:rsidP="00871845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Dh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</w:t>
      </w:r>
      <w:proofErr w:type="gramStart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2</w:t>
      </w:r>
      <w:proofErr w:type="gramEnd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 DР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×`v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нас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×10</w:t>
      </w:r>
      <w:r w:rsidRPr="00871845">
        <w:rPr>
          <w:rFonts w:ascii="Georgia" w:eastAsia="Times New Roman" w:hAnsi="Georgia" w:cs="Arial"/>
          <w:color w:val="333333"/>
          <w:sz w:val="18"/>
          <w:szCs w:val="18"/>
          <w:vertAlign w:val="superscript"/>
          <w:lang w:eastAsia="ru-RU"/>
        </w:rPr>
        <w:t>3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 xml:space="preserve"> / </w:t>
      </w:r>
      <w:proofErr w:type="spellStart"/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h</w:t>
      </w:r>
      <w:proofErr w:type="spellEnd"/>
      <w:r w:rsidRPr="00871845">
        <w:rPr>
          <w:rFonts w:ascii="Georgia" w:eastAsia="Times New Roman" w:hAnsi="Georgia" w:cs="Arial"/>
          <w:color w:val="333333"/>
          <w:sz w:val="18"/>
          <w:szCs w:val="18"/>
          <w:vertAlign w:val="subscript"/>
          <w:lang w:eastAsia="ru-RU"/>
        </w:rPr>
        <w:t> дн2</w:t>
      </w:r>
      <w:r w:rsidRPr="00871845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 =1,929 кДж/кг</w:t>
      </w:r>
    </w:p>
    <w:p w:rsidR="005426D3" w:rsidRDefault="008C5D85">
      <w:pPr>
        <w:rPr>
          <w:sz w:val="28"/>
          <w:szCs w:val="28"/>
        </w:rPr>
      </w:pPr>
      <w:r w:rsidRPr="008C5D85">
        <w:rPr>
          <w:sz w:val="28"/>
          <w:szCs w:val="28"/>
        </w:rPr>
        <w:t>Задание</w:t>
      </w:r>
      <w:r>
        <w:rPr>
          <w:sz w:val="28"/>
          <w:szCs w:val="28"/>
        </w:rPr>
        <w:t>:</w:t>
      </w:r>
    </w:p>
    <w:p w:rsidR="00972E86" w:rsidRDefault="00972E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52829" w:rsidRP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Определить изменение термического к.п.д. и полезной работы 1 кг пара в цикле паросиловой установки с введением вторичного перегрева пара. Начальные параметры пара в цикле р</w:t>
      </w:r>
      <w:proofErr w:type="gramStart"/>
      <w:r w:rsidR="00752829">
        <w:rPr>
          <w:rFonts w:ascii="Arial" w:hAnsi="Arial" w:cs="Arial"/>
          <w:color w:val="000000"/>
          <w:sz w:val="16"/>
          <w:szCs w:val="16"/>
          <w:shd w:val="clear" w:color="auto" w:fill="FFFFFF"/>
          <w:vertAlign w:val="subscript"/>
        </w:rPr>
        <w:t>1</w:t>
      </w:r>
      <w:proofErr w:type="gramEnd"/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=3,5 МПа и , t</w:t>
      </w:r>
      <w:r w:rsidR="00752829">
        <w:rPr>
          <w:rFonts w:ascii="Arial" w:hAnsi="Arial" w:cs="Arial"/>
          <w:color w:val="000000"/>
          <w:sz w:val="16"/>
          <w:szCs w:val="16"/>
          <w:shd w:val="clear" w:color="auto" w:fill="FFFFFF"/>
          <w:vertAlign w:val="subscript"/>
        </w:rPr>
        <w:t>1</w:t>
      </w:r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=450</w:t>
      </w:r>
      <w:r w:rsidR="00752829">
        <w:rPr>
          <w:rFonts w:ascii="Arial" w:hAnsi="Arial" w:cs="Arial"/>
          <w:color w:val="000000"/>
          <w:sz w:val="16"/>
          <w:szCs w:val="16"/>
          <w:shd w:val="clear" w:color="auto" w:fill="FFFFFF"/>
          <w:vertAlign w:val="superscript"/>
        </w:rPr>
        <w:t>0</w:t>
      </w:r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С и р</w:t>
      </w:r>
      <w:r w:rsidR="00752829">
        <w:rPr>
          <w:rFonts w:ascii="Arial" w:hAnsi="Arial" w:cs="Arial"/>
          <w:color w:val="000000"/>
          <w:sz w:val="16"/>
          <w:szCs w:val="16"/>
          <w:shd w:val="clear" w:color="auto" w:fill="FFFFFF"/>
          <w:vertAlign w:val="subscript"/>
        </w:rPr>
        <w:t>2</w:t>
      </w:r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=4,0 кПа. Вторичный перегрев пара производится при давлении 0,5 МПа до температуры 430</w:t>
      </w:r>
      <w:r w:rsidR="00752829">
        <w:rPr>
          <w:rFonts w:ascii="Arial" w:hAnsi="Arial" w:cs="Arial"/>
          <w:color w:val="000000"/>
          <w:sz w:val="16"/>
          <w:szCs w:val="16"/>
          <w:shd w:val="clear" w:color="auto" w:fill="FFFFFF"/>
          <w:vertAlign w:val="superscript"/>
        </w:rPr>
        <w:t>0</w:t>
      </w:r>
      <w:r w:rsidR="00752829">
        <w:rPr>
          <w:rFonts w:ascii="Arial" w:hAnsi="Arial" w:cs="Arial"/>
          <w:color w:val="000000"/>
          <w:sz w:val="21"/>
          <w:szCs w:val="21"/>
          <w:shd w:val="clear" w:color="auto" w:fill="FFFFFF"/>
        </w:rPr>
        <w:t>С. Работу насоса не учитывать (задача решается как 2-129) [1].</w:t>
      </w:r>
    </w:p>
    <w:p w:rsidR="00972E86" w:rsidRDefault="00972E86">
      <w:pPr>
        <w:rPr>
          <w:sz w:val="28"/>
          <w:szCs w:val="28"/>
        </w:rPr>
      </w:pPr>
    </w:p>
    <w:p w:rsidR="00972E86" w:rsidRDefault="00972E86">
      <w:pPr>
        <w:rPr>
          <w:sz w:val="28"/>
          <w:szCs w:val="28"/>
        </w:rPr>
      </w:pPr>
    </w:p>
    <w:p w:rsidR="00972E86" w:rsidRDefault="00FB5B9A" w:rsidP="00972E86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52829">
        <w:rPr>
          <w:sz w:val="28"/>
          <w:szCs w:val="28"/>
        </w:rPr>
        <w:t>https://works.doklad.ru/images/RaEqed</w:t>
      </w:r>
      <w:r w:rsidR="00972E86">
        <w:rPr>
          <w:rFonts w:ascii="Arial" w:hAnsi="Arial" w:cs="Arial"/>
          <w:color w:val="000000"/>
          <w:sz w:val="21"/>
          <w:szCs w:val="21"/>
        </w:rPr>
        <w:br/>
      </w:r>
      <w:r w:rsidR="00972E86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562600" cy="5229225"/>
            <wp:effectExtent l="19050" t="0" r="0" b="0"/>
            <wp:docPr id="42" name="Рисунок 42" descr="https://fsd.multiurok.ru/html/2019/10/25/s_5db29a310ac51/123337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19/10/25/s_5db29a310ac51/1233375_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9A" w:rsidRPr="00752829" w:rsidRDefault="00972E86" w:rsidP="00752829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Задание. По заданному варианту решите следующие зад</w:t>
      </w:r>
      <w:r w:rsidR="00752829">
        <w:rPr>
          <w:rFonts w:ascii="Arial" w:hAnsi="Arial" w:cs="Arial"/>
          <w:b/>
          <w:bCs/>
          <w:color w:val="000000"/>
          <w:sz w:val="21"/>
          <w:szCs w:val="21"/>
        </w:rPr>
        <w:t>ания.</w:t>
      </w:r>
    </w:p>
    <w:p w:rsidR="00972E86" w:rsidRDefault="00972E86" w:rsidP="00972E86">
      <w:pPr>
        <w:rPr>
          <w:sz w:val="28"/>
          <w:szCs w:val="28"/>
        </w:rPr>
      </w:pPr>
    </w:p>
    <w:p w:rsidR="00FB5B9A" w:rsidRPr="008C5D85" w:rsidRDefault="00972E86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2647950"/>
            <wp:effectExtent l="19050" t="0" r="9525" b="0"/>
            <wp:docPr id="39" name="Рисунок 39" descr="https://www.bestreferat.ru/images/paper/69/33/76533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bestreferat.ru/images/paper/69/33/76533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B9A" w:rsidRPr="008C5D85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C6ED6"/>
    <w:multiLevelType w:val="multilevel"/>
    <w:tmpl w:val="A17A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845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75068"/>
    <w:rsid w:val="001F4D1E"/>
    <w:rsid w:val="002012A9"/>
    <w:rsid w:val="002158AE"/>
    <w:rsid w:val="00234DC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3C256F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0494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2829"/>
    <w:rsid w:val="00757E2E"/>
    <w:rsid w:val="00781F07"/>
    <w:rsid w:val="007838F2"/>
    <w:rsid w:val="00797E83"/>
    <w:rsid w:val="007D3CB1"/>
    <w:rsid w:val="00805937"/>
    <w:rsid w:val="00833A1E"/>
    <w:rsid w:val="00871845"/>
    <w:rsid w:val="008771E2"/>
    <w:rsid w:val="00877810"/>
    <w:rsid w:val="00884B94"/>
    <w:rsid w:val="008A3932"/>
    <w:rsid w:val="008C5D85"/>
    <w:rsid w:val="008C6B34"/>
    <w:rsid w:val="008F44C6"/>
    <w:rsid w:val="00911DE2"/>
    <w:rsid w:val="00921E57"/>
    <w:rsid w:val="00927A60"/>
    <w:rsid w:val="00972E86"/>
    <w:rsid w:val="009946E0"/>
    <w:rsid w:val="00A41452"/>
    <w:rsid w:val="00A73767"/>
    <w:rsid w:val="00A82A5D"/>
    <w:rsid w:val="00AB4A31"/>
    <w:rsid w:val="00AD4156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CC4EC4"/>
    <w:rsid w:val="00CD0EA6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F263C2"/>
    <w:rsid w:val="00F4535C"/>
    <w:rsid w:val="00F57B22"/>
    <w:rsid w:val="00FA4508"/>
    <w:rsid w:val="00FB5B9A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5B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7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59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917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7729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9582">
                  <w:marLeft w:val="-450"/>
                  <w:marRight w:val="0"/>
                  <w:marTop w:val="0"/>
                  <w:marBottom w:val="0"/>
                  <w:divBdr>
                    <w:top w:val="single" w:sz="6" w:space="12" w:color="EDEDED"/>
                    <w:left w:val="single" w:sz="6" w:space="12" w:color="EDEDED"/>
                    <w:bottom w:val="single" w:sz="6" w:space="12" w:color="EDEDED"/>
                    <w:right w:val="single" w:sz="6" w:space="12" w:color="EDEDED"/>
                  </w:divBdr>
                  <w:divsChild>
                    <w:div w:id="16657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115130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865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5606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032">
              <w:marLeft w:val="0"/>
              <w:marRight w:val="3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5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1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81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083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850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693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0990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29977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782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434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209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2020-06-11T00:37:00Z</dcterms:created>
  <dcterms:modified xsi:type="dcterms:W3CDTF">2020-06-11T04:44:00Z</dcterms:modified>
</cp:coreProperties>
</file>