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04" w:rsidRPr="00DC3A04" w:rsidRDefault="00DC3A04" w:rsidP="00DC3A04">
      <w:pPr>
        <w:shd w:val="clear" w:color="auto" w:fill="F9F9F9"/>
        <w:spacing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  <w:t>Виды соединений: разъёмные, неразъёмные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процессе изготовления машин некоторые их детали соединяют между собой, при этом образуются неразъёмные или разъёмные соединения. [</w:t>
      </w:r>
      <w:hyperlink r:id="rId5" w:anchor="lit_01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1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]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Неразъёмными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называют соединения, которые невозможно разобрать без нарушения или повреждения деталей. К ним относятся заклёпочные, сварные, клеевые соединения, соединения, полученные пайкой, а также условно посадки с натягом.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Разъёмными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называют соединения, которые можно разбирать и вновь собирать без повреждения деталей. К разъёмным относятся резьбовые, шпоночные, шлицевые и другие соединения.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Сварные соединения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образуются путём местного нагрева деталей в зоне сварки. Наибольшее распространение получили электрические виды, основными из которых являются дуговая и контактная сварка.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Различают следующие </w:t>
      </w: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разновидности дуговой сварки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DC3A04" w:rsidRPr="00DC3A04" w:rsidRDefault="00DC3A04" w:rsidP="00DC3A0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автоматическая сварка под флюсом (этот вид сварки высокопроизводителен и экономичен, даёт хорошее качество шва, применяется в крупносерийном и массовом производстве для конструкций с длинными швами);</w:t>
      </w:r>
    </w:p>
    <w:p w:rsidR="00DC3A04" w:rsidRPr="00DC3A04" w:rsidRDefault="00DC3A04" w:rsidP="00DC3A0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полуавтоматическая сварка под флюсом (применяется для конструкций с короткими прерывистыми швами);</w:t>
      </w:r>
    </w:p>
    <w:p w:rsidR="00DC3A04" w:rsidRPr="00DC3A04" w:rsidRDefault="00DC3A04" w:rsidP="00DC3A0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ручная сварка (применяется в тех случаях, когда другие виды дуговой сварки нерациональны, этот вид сварки малопроизводителен, качество шва зависит от квалификации сварщика).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Контактная сварка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применяется в серийном и массовом производстве для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нахлёсточных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соединений тонкого листового металла (точечная, шовная контактные сварки) или для стыковых соединений круглого и полосового металла (стыковая контактная сварка).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Достоинства сварных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невысокая стоимость соединения благодаря малой трудоёмкости сварки и простоте конструкции сварного шва;</w:t>
      </w:r>
    </w:p>
    <w:p w:rsidR="00DC3A04" w:rsidRPr="00DC3A04" w:rsidRDefault="00DC3A04" w:rsidP="00DC3A0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сравнительно небольшая масса конструкции (на 15-25% меньше массы клёпаной):</w:t>
      </w:r>
    </w:p>
    <w:p w:rsidR="00DC3A04" w:rsidRPr="00DC3A04" w:rsidRDefault="00DC3A04" w:rsidP="00DC3A04">
      <w:pPr>
        <w:numPr>
          <w:ilvl w:val="1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из-за отсутствия отверстий под заклёпки требуется меньшая площадь свариваемых деталей;</w:t>
      </w:r>
    </w:p>
    <w:p w:rsidR="00DC3A04" w:rsidRPr="00DC3A04" w:rsidRDefault="00DC3A04" w:rsidP="00DC3A04">
      <w:pPr>
        <w:numPr>
          <w:ilvl w:val="1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соединение деталей может выполняться без накладок;</w:t>
      </w:r>
    </w:p>
    <w:p w:rsidR="00DC3A04" w:rsidRPr="00DC3A04" w:rsidRDefault="00DC3A04" w:rsidP="00DC3A04">
      <w:pPr>
        <w:numPr>
          <w:ilvl w:val="1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отсутствуют выступающие массивные головки заклёпок;</w:t>
      </w:r>
    </w:p>
    <w:p w:rsidR="00DC3A04" w:rsidRPr="00DC3A04" w:rsidRDefault="00DC3A04" w:rsidP="00DC3A0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герметичность и плотность соединения;</w:t>
      </w:r>
    </w:p>
    <w:p w:rsidR="00DC3A04" w:rsidRPr="00DC3A04" w:rsidRDefault="00DC3A04" w:rsidP="00DC3A0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возможность автоматизации процесса сварки;</w:t>
      </w:r>
    </w:p>
    <w:p w:rsidR="00DC3A04" w:rsidRPr="00DC3A04" w:rsidRDefault="00DC3A04" w:rsidP="00DC3A0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возможность сварки толстых профилей.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Недостатки сварных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прочность сварного шва зависит от квалификации сварщика (устраняется применением автоматической сварки);</w:t>
      </w:r>
    </w:p>
    <w:p w:rsidR="00DC3A04" w:rsidRPr="00DC3A04" w:rsidRDefault="00DC3A04" w:rsidP="00DC3A0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коробление деталей из-за неравномерности нагрева в процессе сварки;</w:t>
      </w:r>
    </w:p>
    <w:p w:rsidR="00DC3A04" w:rsidRPr="00DC3A04" w:rsidRDefault="00DC3A04" w:rsidP="00DC3A0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недостаточная надёжность при значительных вибрационных и ударных нагрузках.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Соединения с натягом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осуществляются подбором соответствующих посадок, в которых натяг создаётся необходимой разностью </w:t>
      </w:r>
      <w:proofErr w:type="gram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посадочных размеров</w:t>
      </w:r>
      <w:proofErr w:type="gram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насаживаемых одна на другую деталей. Взаимная неподвижность соединяемых деталей обеспечивается силами трения, возникающими на поверхности контакта деталей.</w:t>
      </w:r>
    </w:p>
    <w:p w:rsidR="00DC3A04" w:rsidRPr="00DC3A04" w:rsidRDefault="00DC3A04" w:rsidP="00680B1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Соединения деталей с натягом условно относят к неразъёмным соединениям, хотя, особенно при закалённых поверхностях, они допускают разборку и новую сборку деталей. </w:t>
      </w:r>
      <w:bookmarkStart w:id="0" w:name="_GoBack"/>
      <w:bookmarkEnd w:id="0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этого используют:</w:t>
      </w:r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7F0694D0" wp14:editId="3A87F22A">
            <wp:extent cx="76200" cy="857250"/>
            <wp:effectExtent l="0" t="0" r="0" b="0"/>
            <wp:docPr id="2" name="Рисунок 2" descr="https://eam.su/wp-content/uploads/book_banner_728x9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am.su/wp-content/uploads/book_banner_728x9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01"/>
                    <a:stretch/>
                  </pic:blipFill>
                  <pic:spPr bwMode="auto">
                    <a:xfrm>
                      <a:off x="0" y="0"/>
                      <a:ext cx="76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механическое сопряжение;</w:t>
      </w:r>
    </w:p>
    <w:p w:rsidR="00DC3A04" w:rsidRPr="00DC3A04" w:rsidRDefault="00DC3A04" w:rsidP="00DC3A0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тепловые посадки;</w:t>
      </w:r>
    </w:p>
    <w:p w:rsidR="00DC3A04" w:rsidRPr="00DC3A04" w:rsidRDefault="00DC3A04" w:rsidP="00DC3A0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охлаждение охватываемой детали.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Достоинства соединений с натягом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простота конструкции и хорошее базирование соединяемых деталей;</w:t>
      </w:r>
    </w:p>
    <w:p w:rsidR="00DC3A04" w:rsidRPr="00DC3A04" w:rsidRDefault="00DC3A04" w:rsidP="00DC3A0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большая нагрузочная способность.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Недостатки соединений с натягом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сложность сборки и, особенно, разборки;</w:t>
      </w:r>
    </w:p>
    <w:p w:rsidR="00DC3A04" w:rsidRPr="00DC3A04" w:rsidRDefault="00DC3A04" w:rsidP="00DC3A0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рассеивание прочности соединения в связи с колебаниями действительных посадочных размеров в пределах допусков.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Резьбовые соединения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являются наиболее распространёнными разъёмными соединениями. Их образуют болты, винты, шпильки, гайки и другие детали, снабжённые резьбой.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Резьбы классифицируют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в зависимости от:</w:t>
      </w:r>
    </w:p>
    <w:p w:rsidR="00DC3A04" w:rsidRPr="00DC3A04" w:rsidRDefault="00DC3A04" w:rsidP="00DC3A04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формы поверхности, на которой образуется резьба: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цилиндрические;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конические;</w:t>
      </w:r>
    </w:p>
    <w:p w:rsidR="00DC3A04" w:rsidRPr="00DC3A04" w:rsidRDefault="00DC3A04" w:rsidP="00DC3A04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формы профиля резьбы: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треугольные;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упорные;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трапецеидальные;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прямоугольные;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круглые;</w:t>
      </w:r>
    </w:p>
    <w:p w:rsidR="00DC3A04" w:rsidRPr="00DC3A04" w:rsidRDefault="00DC3A04" w:rsidP="00DC3A04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направления винтовой линии резьбы: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правые (винтовая линия поднимается слева вверх направо);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левые (имеют ограниченное применение);</w:t>
      </w:r>
    </w:p>
    <w:p w:rsidR="00DC3A04" w:rsidRPr="00DC3A04" w:rsidRDefault="00DC3A04" w:rsidP="00DC3A04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числа заходов резьбы (определяется с торца винта по числу сбегающих витков):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однозаходные;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многозаходные;</w:t>
      </w:r>
    </w:p>
    <w:p w:rsidR="00DC3A04" w:rsidRPr="00DC3A04" w:rsidRDefault="00DC3A04" w:rsidP="00DC3A04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назначения резьбы: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крепёжные (применяют в резьбовых соединениях; имеют треугольный профиль, который характеризуется большим трением, предохраняющим резьбу от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самоотвинчивания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а также высокой прочностью и технологичностью);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крепёжно-уплотняющие (применяют в соединениях, требующих герметичности; выполняют треугольного профиля, но без радиальных зазоров; как правило, все крепёжные резьбовые детали имеют однозаходную резьбу);</w:t>
      </w:r>
    </w:p>
    <w:p w:rsidR="00DC3A04" w:rsidRPr="00DC3A04" w:rsidRDefault="00DC3A04" w:rsidP="00DC3A04">
      <w:pPr>
        <w:numPr>
          <w:ilvl w:val="1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передачи движения (применяют в винтовых механизмах; имеют трапецеидальный (реже – прямоугольный) профиль, который характеризуется меньшим трением).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Достоинства резьбовых соединений</w:t>
      </w:r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0C61FFD1" wp14:editId="269F9E23">
            <wp:extent cx="228600" cy="857250"/>
            <wp:effectExtent l="0" t="0" r="0" b="0"/>
            <wp:docPr id="3" name="Рисунок 3" descr="https://eam.su/wp-content/uploads/book_banner_728x9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am.su/wp-content/uploads/book_banner_728x9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03"/>
                    <a:stretch/>
                  </pic:blipFill>
                  <pic:spPr bwMode="auto">
                    <a:xfrm>
                      <a:off x="0" y="0"/>
                      <a:ext cx="22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высокая нагрузочная способность и надёжность;</w:t>
      </w:r>
    </w:p>
    <w:p w:rsidR="00DC3A04" w:rsidRPr="00DC3A04" w:rsidRDefault="00DC3A04" w:rsidP="00DC3A04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наличие большой номенклатуры резьбовых деталей для различных условий работы;</w:t>
      </w:r>
    </w:p>
    <w:p w:rsidR="00DC3A04" w:rsidRPr="00DC3A04" w:rsidRDefault="00DC3A04" w:rsidP="00DC3A04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удобство сборки и разборки;</w:t>
      </w:r>
    </w:p>
    <w:p w:rsidR="00DC3A04" w:rsidRPr="00DC3A04" w:rsidRDefault="00DC3A04" w:rsidP="00DC3A04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малая стоимость, обусловленная стандартизацией и высокопроизводительными процессами изготовления.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Недостатки резьбовых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наличие большого количества концентраторов напряжений, которые снижают сопротивление усталости при переменных напряжениях.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Шпоночные соединения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состоят из вала, шпонки и ступицы охватывающей детали.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Шпонка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представляет собой брус, вставляемый в пазы вала и ступицы, для передачи вращающего момента между валом и охватывающей деталью.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Шпоночные соединения подразделяют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на:</w:t>
      </w:r>
    </w:p>
    <w:p w:rsidR="00DC3A04" w:rsidRPr="00DC3A04" w:rsidRDefault="00DC3A04" w:rsidP="00DC3A04">
      <w:pPr>
        <w:numPr>
          <w:ilvl w:val="0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ненапряжённые (при сборке соединений в деталях не возникает предварительных напряжений):</w:t>
      </w:r>
    </w:p>
    <w:p w:rsidR="00DC3A04" w:rsidRPr="00DC3A04" w:rsidRDefault="00DC3A04" w:rsidP="00DC3A04">
      <w:pPr>
        <w:numPr>
          <w:ilvl w:val="1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 призматическими шпонками (рабочие грани – боковые, не удерживают детали от осевого смещения вдоль вала) по форме торцов различают:</w:t>
      </w:r>
    </w:p>
    <w:p w:rsidR="00DC3A04" w:rsidRPr="00DC3A04" w:rsidRDefault="00DC3A04" w:rsidP="00DC3A04">
      <w:pPr>
        <w:numPr>
          <w:ilvl w:val="2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 скруглёнными торцами (</w:t>
      </w:r>
      <w:hyperlink r:id="rId8" w:anchor="pic_01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1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исполнение 1);</w:t>
      </w:r>
    </w:p>
    <w:p w:rsidR="00DC3A04" w:rsidRPr="00DC3A04" w:rsidRDefault="00DC3A04" w:rsidP="00DC3A04">
      <w:pPr>
        <w:numPr>
          <w:ilvl w:val="2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 плоскими торцами (</w:t>
      </w:r>
      <w:hyperlink r:id="rId9" w:anchor="pic_01" w:tgtFrame="_blank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1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исполнение 2);</w:t>
      </w:r>
    </w:p>
    <w:p w:rsidR="00DC3A04" w:rsidRPr="00DC3A04" w:rsidRDefault="00DC3A04" w:rsidP="00DC3A04">
      <w:pPr>
        <w:numPr>
          <w:ilvl w:val="2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 одним плоским, а другим скруглённым торцом (</w:t>
      </w:r>
      <w:hyperlink r:id="rId10" w:anchor="pic_01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1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исполнение 3);</w:t>
      </w:r>
    </w:p>
    <w:p w:rsidR="00DC3A04" w:rsidRPr="00DC3A04" w:rsidRDefault="00DC3A04" w:rsidP="00DC3A04">
      <w:pPr>
        <w:numPr>
          <w:ilvl w:val="1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сегментными шпонками (рабочие грани – боковые, применяют при передаче небольших вращающих моментов, просты в изготовлении, удобны 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при монтаже и демонтаже – шпонки свободно вставляют в паз и вынимают) (</w:t>
      </w:r>
      <w:hyperlink r:id="rId11" w:anchor="pic_02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2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);</w:t>
      </w:r>
    </w:p>
    <w:p w:rsidR="00DC3A04" w:rsidRPr="00DC3A04" w:rsidRDefault="00DC3A04" w:rsidP="00DC3A04">
      <w:pPr>
        <w:numPr>
          <w:ilvl w:val="0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напряжённые (при сборке соединений в деталях возникают предварительные (монтажные) напряжения):</w:t>
      </w:r>
    </w:p>
    <w:p w:rsidR="00DC3A04" w:rsidRPr="00DC3A04" w:rsidRDefault="00DC3A04" w:rsidP="00DC3A04">
      <w:pPr>
        <w:numPr>
          <w:ilvl w:val="1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клиновыми шпонками (имеют форму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односкосных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самотормозящих клиньев с уклоном 1:100, не требуют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стопорения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ступицы от продольного перемещения вдоль вала, хорошо воспринимают ударные и знакопеременные нагрузки) (</w:t>
      </w:r>
      <w:hyperlink r:id="rId12" w:anchor="pic_03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3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);</w:t>
      </w:r>
    </w:p>
    <w:p w:rsidR="00DC3A04" w:rsidRPr="00DC3A04" w:rsidRDefault="00DC3A04" w:rsidP="00DC3A04">
      <w:pPr>
        <w:numPr>
          <w:ilvl w:val="1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тангенциальными шпонками (состоят из двух форму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односкосных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клиньев с уклоном 1:100 каждый, работают узкими гранями, вводятся в пазы ударом, применяются для передачи больших вращающих моментов с переменным режимом работы, в соединении ставят две пары тангенциальных шпонок под углом 120°) (</w:t>
      </w:r>
      <w:hyperlink r:id="rId13" w:anchor="pic_04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4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).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1" w:name="pic_01"/>
      <w:bookmarkEnd w:id="1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54827ACE" wp14:editId="2CAE25BA">
            <wp:extent cx="104775" cy="857250"/>
            <wp:effectExtent l="0" t="0" r="0" b="0"/>
            <wp:docPr id="4" name="Рисунок 4" descr="https://eam.su/wp-content/uploads/book_banner_728x9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am.su/wp-content/uploads/book_banner_728x9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0" r="-1511"/>
                    <a:stretch/>
                  </pic:blipFill>
                  <pic:spPr bwMode="auto">
                    <a:xfrm>
                      <a:off x="0" y="0"/>
                      <a:ext cx="104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2FEA11D6" wp14:editId="41BAFA3C">
            <wp:extent cx="6800850" cy="3505200"/>
            <wp:effectExtent l="0" t="0" r="0" b="0"/>
            <wp:docPr id="5" name="Рисунок 5" descr="Соединения призматическими шпонкам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единения призматическими шпонкам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Рисунок 1 – Соединения призматическими шпонками</w:t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2" w:name="pic_02"/>
      <w:bookmarkEnd w:id="2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lastRenderedPageBreak/>
        <w:drawing>
          <wp:inline distT="0" distB="0" distL="0" distR="0" wp14:anchorId="3D1EB22E" wp14:editId="5DA65524">
            <wp:extent cx="6200775" cy="2514600"/>
            <wp:effectExtent l="0" t="0" r="9525" b="0"/>
            <wp:docPr id="6" name="Рисунок 6" descr="Соединение сегментной шпонко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единение сегментной шпонкой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Рисунок 2 – Соединение сегментной шпонкой: 1 – винт установочный; 2 – кольцо замковое пружинное</w:t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3" w:name="pic_03"/>
      <w:bookmarkEnd w:id="3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511D3C64" wp14:editId="69A29AE6">
            <wp:extent cx="6010275" cy="3724275"/>
            <wp:effectExtent l="0" t="0" r="9525" b="9525"/>
            <wp:docPr id="7" name="Рисунок 7" descr="Соединение клиновой шпонкой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единение клиновой шпонкой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Рисунок 3 – Соединение клиновой шпонкой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4" w:name="pic_04"/>
      <w:bookmarkEnd w:id="4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lastRenderedPageBreak/>
        <w:drawing>
          <wp:inline distT="0" distB="0" distL="0" distR="0" wp14:anchorId="62929AC5" wp14:editId="2D486603">
            <wp:extent cx="6153150" cy="2619375"/>
            <wp:effectExtent l="0" t="0" r="0" b="9525"/>
            <wp:docPr id="9" name="Рисунок 9" descr="Соединение тангенциальными шпонкам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единение тангенциальными шпонкам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Рисунок 4 – Соединение тангенциальными шпонками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Достоинства шпоночных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простота конструкции;</w:t>
      </w:r>
    </w:p>
    <w:p w:rsidR="00DC3A04" w:rsidRPr="00DC3A04" w:rsidRDefault="00DC3A04" w:rsidP="00DC3A04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сравнительная лёгкость монтажа и демонтажа.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Недостатки шпоночных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1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шпоночный паз ослабляет вал и ступицу охватывающей детали не только уменьшением сечения, но, главное, значительной концентрацией напряжений изгиба и кручения;</w:t>
      </w:r>
    </w:p>
    <w:p w:rsidR="00DC3A04" w:rsidRPr="00DC3A04" w:rsidRDefault="00DC3A04" w:rsidP="00DC3A04">
      <w:pPr>
        <w:numPr>
          <w:ilvl w:val="0"/>
          <w:numId w:val="12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трудоёмкость изготовления.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Шлицевые соединения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образуются выступами – зубьями на валу и соответствующими впадинами – </w:t>
      </w: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шлицами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в ступице охватывающей детали. Рабочими являются боковые стороны зубьев. Упрощенно шлицевые соединения можно рассматривать как многошпоночные.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Шлицевые соединения различают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</w:t>
      </w:r>
    </w:p>
    <w:p w:rsidR="00DC3A04" w:rsidRPr="00DC3A04" w:rsidRDefault="00DC3A04" w:rsidP="00DC3A04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характеру соединения: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неподвижные (для закрепления охватывающей детали на валу);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подвижные (допускают перемещение детали вдоль вала);</w:t>
      </w:r>
    </w:p>
    <w:p w:rsidR="00DC3A04" w:rsidRPr="00DC3A04" w:rsidRDefault="00DC3A04" w:rsidP="00DC3A04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способу центрирования ступицы относительно вала: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наружному диаметру (наиболее технологично);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внутреннему диаметру (при высокой твёрдости материала ступицы);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боковым поверхностям зубьев (более равномерно распределение нагрузки по зубьям);</w:t>
      </w:r>
    </w:p>
    <w:p w:rsidR="00DC3A04" w:rsidRPr="00DC3A04" w:rsidRDefault="00DC3A04" w:rsidP="00DC3A04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форме зубьев: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прямобочные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(имеют постоянную толщину зубьев) (</w:t>
      </w:r>
      <w:hyperlink r:id="rId22" w:anchor="pic_05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5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);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эвольвентные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(имеют повышенную прочность, используются для передачи больших вращающих моментов) (</w:t>
      </w:r>
      <w:hyperlink r:id="rId23" w:anchor="pic_06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6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);</w:t>
      </w:r>
    </w:p>
    <w:p w:rsidR="00DC3A04" w:rsidRPr="00DC3A04" w:rsidRDefault="00DC3A04" w:rsidP="00DC3A04">
      <w:pPr>
        <w:numPr>
          <w:ilvl w:val="1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треугольные (применяют только в неподвижных соединениях для тонкостенных ступиц, пустотелых валов, при передаче небольших крутящих моментов) (</w:t>
      </w:r>
      <w:hyperlink r:id="rId24" w:anchor="pic_07" w:history="1">
        <w:r w:rsidRPr="00DC3A04">
          <w:rPr>
            <w:rFonts w:ascii="Roboto" w:eastAsia="Times New Roman" w:hAnsi="Roboto" w:cs="Times New Roman"/>
            <w:color w:val="595959"/>
            <w:sz w:val="24"/>
            <w:szCs w:val="24"/>
            <w:u w:val="single"/>
            <w:lang w:eastAsia="ru-RU"/>
          </w:rPr>
          <w:t>рисунок 7</w:t>
        </w:r>
      </w:hyperlink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).</w:t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5" w:name="pic_05"/>
      <w:bookmarkEnd w:id="5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lastRenderedPageBreak/>
        <w:drawing>
          <wp:inline distT="0" distB="0" distL="0" distR="0" wp14:anchorId="3BE23A65" wp14:editId="70E6F714">
            <wp:extent cx="4333875" cy="3524250"/>
            <wp:effectExtent l="0" t="0" r="9525" b="0"/>
            <wp:docPr id="11" name="Рисунок 11" descr="Прямобочное шлицевое соединение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ямобочное шлицевое соединение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Рисунок 5 –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Прямобочное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шлицевое соединение</w:t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6" w:name="pic_06"/>
      <w:bookmarkEnd w:id="6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67A1A88F" wp14:editId="3FCC5E2D">
            <wp:extent cx="4086225" cy="2124075"/>
            <wp:effectExtent l="0" t="0" r="9525" b="9525"/>
            <wp:docPr id="12" name="Рисунок 12" descr="Эвольвентное шлицевое соединение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Эвольвентное шлицевое соединение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Рисунок 6 – </w:t>
      </w:r>
      <w:proofErr w:type="spellStart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Эвольвентное</w:t>
      </w:r>
      <w:proofErr w:type="spellEnd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шлицевое соединение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7" w:name="gti_023_07"/>
      <w:bookmarkStart w:id="8" w:name="pic_07"/>
      <w:bookmarkEnd w:id="7"/>
      <w:bookmarkEnd w:id="8"/>
      <w:r w:rsidRPr="00DC3A04">
        <w:rPr>
          <w:rFonts w:ascii="Roboto" w:eastAsia="Times New Roman" w:hAnsi="Roboto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683AC179" wp14:editId="311D3F76">
            <wp:extent cx="3228975" cy="1619250"/>
            <wp:effectExtent l="0" t="0" r="9525" b="0"/>
            <wp:docPr id="14" name="Рисунок 14" descr="Треугольное шлицевое соединение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реугольное шлицевое соединение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04" w:rsidRPr="00DC3A04" w:rsidRDefault="00DC3A04" w:rsidP="00DC3A04">
      <w:pPr>
        <w:shd w:val="clear" w:color="auto" w:fill="F9F9F9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Рисунок 7 – Треугольное шлицевое соединение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Достоинства шлицевых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(по сравнению со шпоночными соединениями):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обеспечивают лучшее базирование соединяемых деталей и более точное направление при осевом перемещении;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уменьшается число деталей соединения (шлицевое соединение образуют две детали, шпоночное – три-четыре);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одинаковых габаритах допускают передачу больших вращающих моментов за счёт большей поверхности контакта;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обеспечивается высокая надёжность при динамических и реверсивных нагрузках;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вал зубьями ослабляется незначительно;</w:t>
      </w:r>
    </w:p>
    <w:p w:rsidR="00DC3A04" w:rsidRPr="00DC3A04" w:rsidRDefault="00DC3A04" w:rsidP="00DC3A04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уменьшается длина ступицы.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Недостатки шлицевых соединений</w:t>
      </w: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(по сравнению со шпоночными соединениями):</w:t>
      </w:r>
    </w:p>
    <w:p w:rsidR="00DC3A04" w:rsidRPr="00DC3A04" w:rsidRDefault="00DC3A04" w:rsidP="00DC3A04">
      <w:pPr>
        <w:shd w:val="clear" w:color="auto" w:fill="F9F9F9"/>
        <w:spacing w:after="12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DC3A04" w:rsidRPr="00DC3A04" w:rsidRDefault="00DC3A04" w:rsidP="00DC3A04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более сложная технология изготовления;</w:t>
      </w:r>
    </w:p>
    <w:p w:rsidR="00DC3A04" w:rsidRPr="00DC3A04" w:rsidRDefault="00DC3A04" w:rsidP="00DC3A04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более высокая стоимость.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51545C"/>
          <w:sz w:val="36"/>
          <w:szCs w:val="36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51545C"/>
          <w:sz w:val="36"/>
          <w:szCs w:val="36"/>
          <w:lang w:eastAsia="ru-RU"/>
        </w:rPr>
        <w:t>Перечень ссылок</w:t>
      </w:r>
    </w:p>
    <w:p w:rsidR="00DC3A04" w:rsidRPr="00DC3A04" w:rsidRDefault="00DC3A04" w:rsidP="00DC3A04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9" w:name="lit_01"/>
      <w:bookmarkEnd w:id="9"/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Куклин Н.Г., Куклина Г.С. Детали машин: Учебник для машиностроительных специальностей техникумов. – 4-е издание, переработанное и дополненное. – М.: Высшая школа, 1987. – 383 с., ил.</w:t>
      </w:r>
    </w:p>
    <w:p w:rsidR="00DC3A04" w:rsidRPr="00DC3A04" w:rsidRDefault="00DC3A04" w:rsidP="00DC3A04">
      <w:pPr>
        <w:shd w:val="clear" w:color="auto" w:fill="F9F9F9"/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51545C"/>
          <w:sz w:val="36"/>
          <w:szCs w:val="36"/>
          <w:lang w:eastAsia="ru-RU"/>
        </w:rPr>
      </w:pPr>
      <w:r w:rsidRPr="00DC3A04">
        <w:rPr>
          <w:rFonts w:ascii="Roboto" w:eastAsia="Times New Roman" w:hAnsi="Roboto" w:cs="Times New Roman"/>
          <w:b/>
          <w:bCs/>
          <w:color w:val="51545C"/>
          <w:sz w:val="36"/>
          <w:szCs w:val="36"/>
          <w:lang w:eastAsia="ru-RU"/>
        </w:rPr>
        <w:t>Вопросы для контроля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основные разновидности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разновидности сварных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Каковы достоинства и недостатки сварных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способы сборки и разборки соединений с натягом?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Каковы достоинства и недостатки соединений с натягом?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разновидности резьбовых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Каковы достоинства и недостатки резьбовых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разновидности шпоночных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Каковы достоинства и недостатки шпоночных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существуют разновидности шлицевых соединений?</w:t>
      </w:r>
    </w:p>
    <w:p w:rsidR="00DC3A04" w:rsidRPr="00DC3A04" w:rsidRDefault="00DC3A04" w:rsidP="00DC3A04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C3A0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Каковы достоинства и недостатки шлицевых соединений?</w:t>
      </w:r>
    </w:p>
    <w:p w:rsidR="005A5175" w:rsidRDefault="005A5175"/>
    <w:sectPr w:rsidR="005A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5EF"/>
    <w:multiLevelType w:val="multilevel"/>
    <w:tmpl w:val="9E9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B0A5E"/>
    <w:multiLevelType w:val="multilevel"/>
    <w:tmpl w:val="CC1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3BF3"/>
    <w:multiLevelType w:val="multilevel"/>
    <w:tmpl w:val="4F60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45A51"/>
    <w:multiLevelType w:val="multilevel"/>
    <w:tmpl w:val="4E0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122D4"/>
    <w:multiLevelType w:val="multilevel"/>
    <w:tmpl w:val="AB9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527B0"/>
    <w:multiLevelType w:val="multilevel"/>
    <w:tmpl w:val="7350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E334D"/>
    <w:multiLevelType w:val="multilevel"/>
    <w:tmpl w:val="7A5A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35D4C"/>
    <w:multiLevelType w:val="multilevel"/>
    <w:tmpl w:val="11F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5E5B"/>
    <w:multiLevelType w:val="multilevel"/>
    <w:tmpl w:val="3DE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33E86"/>
    <w:multiLevelType w:val="multilevel"/>
    <w:tmpl w:val="A35A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E7D1D"/>
    <w:multiLevelType w:val="multilevel"/>
    <w:tmpl w:val="316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B6382"/>
    <w:multiLevelType w:val="multilevel"/>
    <w:tmpl w:val="76D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C6F5E"/>
    <w:multiLevelType w:val="multilevel"/>
    <w:tmpl w:val="59E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255B1"/>
    <w:multiLevelType w:val="multilevel"/>
    <w:tmpl w:val="417C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B1710"/>
    <w:multiLevelType w:val="multilevel"/>
    <w:tmpl w:val="DC6A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773D7"/>
    <w:multiLevelType w:val="multilevel"/>
    <w:tmpl w:val="903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93995"/>
    <w:multiLevelType w:val="multilevel"/>
    <w:tmpl w:val="9CCC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11"/>
  </w:num>
  <w:num w:numId="9">
    <w:abstractNumId w:val="0"/>
  </w:num>
  <w:num w:numId="10">
    <w:abstractNumId w:val="16"/>
  </w:num>
  <w:num w:numId="11">
    <w:abstractNumId w:val="8"/>
  </w:num>
  <w:num w:numId="12">
    <w:abstractNumId w:val="10"/>
  </w:num>
  <w:num w:numId="13">
    <w:abstractNumId w:val="14"/>
  </w:num>
  <w:num w:numId="14">
    <w:abstractNumId w:val="4"/>
  </w:num>
  <w:num w:numId="15">
    <w:abstractNumId w:val="7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28"/>
    <w:rsid w:val="00515D28"/>
    <w:rsid w:val="005A5175"/>
    <w:rsid w:val="00680B14"/>
    <w:rsid w:val="00D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1FD"/>
  <w15:chartTrackingRefBased/>
  <w15:docId w15:val="{5411ED4F-9247-4BFE-B8D8-1583C7EC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8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2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m.su/vidy-soedinenij-razyomnye-nerazyomnye.html" TargetMode="External"/><Relationship Id="rId13" Type="http://schemas.openxmlformats.org/officeDocument/2006/relationships/hyperlink" Target="https://eam.su/vidy-soedinenij-razyomnye-nerazyomnye.html" TargetMode="External"/><Relationship Id="rId18" Type="http://schemas.openxmlformats.org/officeDocument/2006/relationships/hyperlink" Target="https://eam.su/wp-content/uploads/gti_023_03.png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hyperlink" Target="https://eam.su/vidy-soedinenij-razyomnye-nerazyomnye.html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eam.su/wp-content/uploads/gti_023_05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m.su/wp-content/uploads/gti_023_02.png" TargetMode="External"/><Relationship Id="rId20" Type="http://schemas.openxmlformats.org/officeDocument/2006/relationships/hyperlink" Target="https://eam.su/wp-content/uploads/gti_023_04.png" TargetMode="External"/><Relationship Id="rId29" Type="http://schemas.openxmlformats.org/officeDocument/2006/relationships/hyperlink" Target="https://eam.su/wp-content/uploads/gti_023_07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m.su/kniga-upravlenie-otkazami-oborudovaniya-chast-i-rassledovanie-i-uchet" TargetMode="External"/><Relationship Id="rId11" Type="http://schemas.openxmlformats.org/officeDocument/2006/relationships/hyperlink" Target="https://eam.su/vidy-soedinenij-razyomnye-nerazyomnye.html" TargetMode="External"/><Relationship Id="rId24" Type="http://schemas.openxmlformats.org/officeDocument/2006/relationships/hyperlink" Target="https://eam.su/vidy-soedinenij-razyomnye-nerazyomnye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am.su/vidy-soedinenij-razyomnye-nerazyomnye.html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eam.su/vidy-soedinenij-razyomnye-nerazyomnye.html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s://eam.su/vidy-soedinenij-razyomnye-nerazyomnye.html" TargetMode="Externa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m.su/vidy-soedinenij-razyomnye-nerazyomnye.html" TargetMode="External"/><Relationship Id="rId14" Type="http://schemas.openxmlformats.org/officeDocument/2006/relationships/hyperlink" Target="https://eam.su/wp-content/uploads/gti_023_01.png" TargetMode="External"/><Relationship Id="rId22" Type="http://schemas.openxmlformats.org/officeDocument/2006/relationships/hyperlink" Target="https://eam.su/vidy-soedinenij-razyomnye-nerazyomnye.html" TargetMode="External"/><Relationship Id="rId27" Type="http://schemas.openxmlformats.org/officeDocument/2006/relationships/hyperlink" Target="https://eam.su/wp-content/uploads/gti_023_06.png" TargetMode="External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1545</Words>
  <Characters>8812</Characters>
  <Application>Microsoft Office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2020-09-10T06:54:00Z</dcterms:created>
  <dcterms:modified xsi:type="dcterms:W3CDTF">2020-11-03T01:35:00Z</dcterms:modified>
</cp:coreProperties>
</file>